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D6CB" w14:textId="3465F6EB" w:rsidR="009B6FD7" w:rsidRDefault="002A6109" w:rsidP="009B6FD7">
      <w:pPr>
        <w:spacing w:after="480"/>
      </w:pPr>
      <w:r>
        <w:rPr>
          <w:noProof/>
        </w:rPr>
        <w:drawing>
          <wp:inline distT="0" distB="0" distL="0" distR="0" wp14:anchorId="46BE6BEA" wp14:editId="123EC1FC">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14"/>
      </w:tblGrid>
      <w:tr w:rsidR="009B6FD7" w14:paraId="71B66420" w14:textId="77777777" w:rsidTr="00DB6D88">
        <w:trPr>
          <w:tblHeader/>
        </w:trPr>
        <w:tc>
          <w:tcPr>
            <w:tcW w:w="3456" w:type="dxa"/>
            <w:tcBorders>
              <w:bottom w:val="single" w:sz="18" w:space="0" w:color="auto"/>
            </w:tcBorders>
          </w:tcPr>
          <w:p w14:paraId="4BD626CD" w14:textId="77777777" w:rsidR="009B6FD7" w:rsidRPr="009B6FD7" w:rsidRDefault="009B6FD7" w:rsidP="009B6FD7">
            <w:pPr>
              <w:pStyle w:val="Heading1"/>
            </w:pPr>
            <w:r w:rsidRPr="009B6FD7">
              <w:t>Report for:</w:t>
            </w:r>
          </w:p>
        </w:tc>
        <w:tc>
          <w:tcPr>
            <w:tcW w:w="5054" w:type="dxa"/>
            <w:tcBorders>
              <w:bottom w:val="single" w:sz="18" w:space="0" w:color="auto"/>
            </w:tcBorders>
          </w:tcPr>
          <w:p w14:paraId="719B6674" w14:textId="77777777" w:rsidR="009B6FD7" w:rsidRPr="00A160B2" w:rsidRDefault="009B6FD7" w:rsidP="00DB6D88">
            <w:pPr>
              <w:pStyle w:val="Heading1"/>
              <w:rPr>
                <w:color w:val="0000FF"/>
                <w:szCs w:val="24"/>
              </w:rPr>
            </w:pPr>
            <w:r>
              <w:t xml:space="preserve">Health and Wellbeing Board  </w:t>
            </w:r>
          </w:p>
        </w:tc>
      </w:tr>
      <w:tr w:rsidR="009B6FD7" w14:paraId="0A599729" w14:textId="77777777" w:rsidTr="00DB6D88">
        <w:tc>
          <w:tcPr>
            <w:tcW w:w="3456" w:type="dxa"/>
            <w:tcBorders>
              <w:top w:val="single" w:sz="18" w:space="0" w:color="auto"/>
            </w:tcBorders>
          </w:tcPr>
          <w:p w14:paraId="7D2C26B8" w14:textId="77777777" w:rsidR="009B6FD7" w:rsidRPr="00F92398" w:rsidRDefault="009B6FD7"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21D64DDE" w14:textId="77777777" w:rsidR="009B6FD7" w:rsidRPr="00F92398" w:rsidRDefault="009B6FD7" w:rsidP="00DB6D88">
            <w:pPr>
              <w:pStyle w:val="Infotext"/>
              <w:rPr>
                <w:rFonts w:ascii="Arial Black" w:hAnsi="Arial Black" w:cs="Arial"/>
              </w:rPr>
            </w:pPr>
          </w:p>
        </w:tc>
        <w:tc>
          <w:tcPr>
            <w:tcW w:w="5054" w:type="dxa"/>
            <w:tcBorders>
              <w:top w:val="single" w:sz="18" w:space="0" w:color="auto"/>
            </w:tcBorders>
          </w:tcPr>
          <w:p w14:paraId="3575FC37" w14:textId="69AA4753" w:rsidR="009B6FD7" w:rsidRDefault="006045DE" w:rsidP="00DB6D88">
            <w:pPr>
              <w:pStyle w:val="Infotext"/>
              <w:rPr>
                <w:rFonts w:cs="Arial"/>
              </w:rPr>
            </w:pPr>
            <w:r>
              <w:rPr>
                <w:rFonts w:cs="Arial"/>
              </w:rPr>
              <w:t>20 March 2024</w:t>
            </w:r>
          </w:p>
        </w:tc>
      </w:tr>
      <w:tr w:rsidR="009B6FD7" w14:paraId="577E5DC8" w14:textId="77777777" w:rsidTr="00DB6D88">
        <w:tc>
          <w:tcPr>
            <w:tcW w:w="3456" w:type="dxa"/>
          </w:tcPr>
          <w:p w14:paraId="2A08B6D2" w14:textId="225E511B" w:rsidR="009B6FD7" w:rsidRPr="00F92398" w:rsidRDefault="009B6FD7" w:rsidP="00DB6D88">
            <w:pPr>
              <w:pStyle w:val="Infotext"/>
              <w:rPr>
                <w:rFonts w:ascii="Arial Black" w:hAnsi="Arial Black" w:cs="Arial"/>
              </w:rPr>
            </w:pPr>
            <w:r w:rsidRPr="00F92398">
              <w:rPr>
                <w:rFonts w:ascii="Arial Black" w:hAnsi="Arial Black" w:cs="Arial"/>
              </w:rPr>
              <w:t>Subject:</w:t>
            </w:r>
            <w:r w:rsidR="00EB3C99">
              <w:rPr>
                <w:rFonts w:ascii="Arial Black" w:hAnsi="Arial Black" w:cs="Arial"/>
              </w:rPr>
              <w:t xml:space="preserve"> </w:t>
            </w:r>
          </w:p>
          <w:p w14:paraId="2B5A4F3C" w14:textId="77777777" w:rsidR="009B6FD7" w:rsidRPr="00F92398" w:rsidRDefault="009B6FD7" w:rsidP="00DB6D88">
            <w:pPr>
              <w:pStyle w:val="Infotext"/>
              <w:rPr>
                <w:rFonts w:ascii="Arial Black" w:hAnsi="Arial Black"/>
              </w:rPr>
            </w:pPr>
          </w:p>
        </w:tc>
        <w:tc>
          <w:tcPr>
            <w:tcW w:w="5054" w:type="dxa"/>
          </w:tcPr>
          <w:p w14:paraId="601A8477" w14:textId="77777777" w:rsidR="009B6FD7" w:rsidRPr="000032A8" w:rsidRDefault="006D37CF" w:rsidP="00DB6D88">
            <w:pPr>
              <w:pStyle w:val="Infotext"/>
              <w:rPr>
                <w:rFonts w:cs="Arial"/>
              </w:rPr>
            </w:pPr>
            <w:r w:rsidRPr="000032A8">
              <w:rPr>
                <w:rFonts w:cs="Arial"/>
              </w:rPr>
              <w:t>Health &amp; Wellbeing Strategy update: Prevention in Partnership</w:t>
            </w:r>
          </w:p>
          <w:p w14:paraId="429E8C6F" w14:textId="175A47B6" w:rsidR="006D37CF" w:rsidRDefault="006D37CF" w:rsidP="00DB6D88">
            <w:pPr>
              <w:pStyle w:val="Infotext"/>
              <w:rPr>
                <w:rFonts w:cs="Arial"/>
              </w:rPr>
            </w:pPr>
          </w:p>
        </w:tc>
      </w:tr>
      <w:tr w:rsidR="009B6FD7" w14:paraId="729405DE" w14:textId="77777777" w:rsidTr="00DB6D88">
        <w:tc>
          <w:tcPr>
            <w:tcW w:w="3456" w:type="dxa"/>
          </w:tcPr>
          <w:p w14:paraId="25E0AB3B" w14:textId="77777777" w:rsidR="009B6FD7" w:rsidRPr="00F92398" w:rsidRDefault="009B6FD7" w:rsidP="00DB6D88">
            <w:pPr>
              <w:pStyle w:val="Infotext"/>
              <w:rPr>
                <w:rFonts w:ascii="Arial Black" w:hAnsi="Arial Black" w:cs="Arial"/>
              </w:rPr>
            </w:pPr>
            <w:r w:rsidRPr="00F92398">
              <w:rPr>
                <w:rFonts w:ascii="Arial Black" w:hAnsi="Arial Black" w:cs="Arial"/>
              </w:rPr>
              <w:t>Responsible Officer:</w:t>
            </w:r>
          </w:p>
          <w:p w14:paraId="3715CDA7" w14:textId="77777777" w:rsidR="009B6FD7" w:rsidRPr="00F92398" w:rsidRDefault="009B6FD7" w:rsidP="00DB6D88">
            <w:pPr>
              <w:pStyle w:val="Infotext"/>
              <w:rPr>
                <w:rFonts w:ascii="Arial Black" w:hAnsi="Arial Black" w:cs="Arial"/>
              </w:rPr>
            </w:pPr>
          </w:p>
        </w:tc>
        <w:tc>
          <w:tcPr>
            <w:tcW w:w="5054" w:type="dxa"/>
          </w:tcPr>
          <w:p w14:paraId="5A7F43A0" w14:textId="668F0859" w:rsidR="009B6FD7" w:rsidRDefault="006D37CF" w:rsidP="00DB6D88">
            <w:pPr>
              <w:pStyle w:val="Infotext"/>
              <w:rPr>
                <w:rFonts w:cs="Arial"/>
              </w:rPr>
            </w:pPr>
            <w:r>
              <w:rPr>
                <w:rFonts w:cs="Arial"/>
              </w:rPr>
              <w:t>Carole Furlong Director of Public Health</w:t>
            </w:r>
          </w:p>
          <w:p w14:paraId="5F5247A9" w14:textId="77777777" w:rsidR="009B6FD7" w:rsidRDefault="009B6FD7" w:rsidP="00DB6D88">
            <w:pPr>
              <w:pStyle w:val="Infotext"/>
              <w:rPr>
                <w:rFonts w:cs="Arial"/>
              </w:rPr>
            </w:pPr>
          </w:p>
        </w:tc>
      </w:tr>
      <w:tr w:rsidR="009B6FD7" w14:paraId="0820659A" w14:textId="77777777" w:rsidTr="00DB6D88">
        <w:tc>
          <w:tcPr>
            <w:tcW w:w="3456" w:type="dxa"/>
          </w:tcPr>
          <w:p w14:paraId="33B20FEF" w14:textId="77777777" w:rsidR="009B6FD7" w:rsidRPr="00F92398" w:rsidRDefault="009B6FD7" w:rsidP="009B6FD7">
            <w:pPr>
              <w:pStyle w:val="Infotext"/>
              <w:rPr>
                <w:rFonts w:ascii="Arial Black" w:hAnsi="Arial Black" w:cs="Arial"/>
              </w:rPr>
            </w:pPr>
            <w:r>
              <w:rPr>
                <w:rFonts w:ascii="Arial Black" w:hAnsi="Arial Black" w:cs="Arial"/>
              </w:rPr>
              <w:t>Public</w:t>
            </w:r>
            <w:r w:rsidRPr="00F92398">
              <w:rPr>
                <w:rFonts w:ascii="Arial Black" w:hAnsi="Arial Black" w:cs="Arial"/>
              </w:rPr>
              <w:t>:</w:t>
            </w:r>
          </w:p>
          <w:p w14:paraId="511A0815" w14:textId="77777777" w:rsidR="009B6FD7" w:rsidRPr="00F92398" w:rsidRDefault="009B6FD7" w:rsidP="00DB6D88">
            <w:pPr>
              <w:pStyle w:val="Infotext"/>
              <w:rPr>
                <w:rFonts w:ascii="Arial Black" w:hAnsi="Arial Black" w:cs="Arial"/>
              </w:rPr>
            </w:pPr>
          </w:p>
        </w:tc>
        <w:tc>
          <w:tcPr>
            <w:tcW w:w="5054" w:type="dxa"/>
          </w:tcPr>
          <w:p w14:paraId="6EB4F9AC" w14:textId="23CDFD7E" w:rsidR="006D37CF" w:rsidRDefault="009B6FD7" w:rsidP="006D37CF">
            <w:pPr>
              <w:pStyle w:val="Infotext"/>
              <w:rPr>
                <w:rFonts w:cs="Arial"/>
              </w:rPr>
            </w:pPr>
            <w:r>
              <w:rPr>
                <w:rFonts w:cs="Arial"/>
              </w:rPr>
              <w:t xml:space="preserve">Yes </w:t>
            </w:r>
          </w:p>
          <w:p w14:paraId="2FDB38D7" w14:textId="7A60D5EB" w:rsidR="009B6FD7" w:rsidRDefault="009B6FD7" w:rsidP="009B6FD7">
            <w:pPr>
              <w:pStyle w:val="Infotext"/>
              <w:rPr>
                <w:rFonts w:cs="Arial"/>
              </w:rPr>
            </w:pPr>
          </w:p>
        </w:tc>
      </w:tr>
      <w:tr w:rsidR="009B6FD7" w14:paraId="3E825936" w14:textId="77777777" w:rsidTr="00DB6D88">
        <w:tc>
          <w:tcPr>
            <w:tcW w:w="3456" w:type="dxa"/>
          </w:tcPr>
          <w:p w14:paraId="5DE68216" w14:textId="77777777" w:rsidR="009B6FD7" w:rsidRDefault="009B6FD7" w:rsidP="00DB6D88">
            <w:pPr>
              <w:pStyle w:val="Infotext"/>
              <w:rPr>
                <w:rFonts w:ascii="Arial Black" w:hAnsi="Arial Black" w:cs="Arial"/>
              </w:rPr>
            </w:pPr>
            <w:r>
              <w:rPr>
                <w:rFonts w:ascii="Arial Black" w:hAnsi="Arial Black" w:cs="Arial"/>
              </w:rPr>
              <w:t>Wards affected:</w:t>
            </w:r>
          </w:p>
          <w:p w14:paraId="6F196838" w14:textId="77777777" w:rsidR="009B6FD7" w:rsidRPr="00F92398" w:rsidRDefault="009B6FD7" w:rsidP="00DB6D88">
            <w:pPr>
              <w:pStyle w:val="Infotext"/>
              <w:rPr>
                <w:rFonts w:ascii="Arial Black" w:hAnsi="Arial Black" w:cs="Arial"/>
              </w:rPr>
            </w:pPr>
          </w:p>
        </w:tc>
        <w:tc>
          <w:tcPr>
            <w:tcW w:w="5054" w:type="dxa"/>
          </w:tcPr>
          <w:p w14:paraId="343A6004" w14:textId="38CB7BA8" w:rsidR="009B6FD7" w:rsidRPr="00E24340" w:rsidRDefault="00607738" w:rsidP="00DB6D88">
            <w:pPr>
              <w:pStyle w:val="Infotext"/>
              <w:rPr>
                <w:bCs/>
              </w:rPr>
            </w:pPr>
            <w:r w:rsidRPr="00E24340">
              <w:rPr>
                <w:rFonts w:cs="Arial"/>
                <w:bCs/>
                <w:szCs w:val="24"/>
              </w:rPr>
              <w:t>A</w:t>
            </w:r>
            <w:r w:rsidR="00E24340" w:rsidRPr="00E24340">
              <w:rPr>
                <w:rFonts w:cs="Arial"/>
                <w:bCs/>
                <w:szCs w:val="24"/>
              </w:rPr>
              <w:t>ll</w:t>
            </w:r>
          </w:p>
        </w:tc>
      </w:tr>
      <w:tr w:rsidR="009B6FD7" w14:paraId="2F9866C6" w14:textId="77777777" w:rsidTr="00DB6D88">
        <w:tc>
          <w:tcPr>
            <w:tcW w:w="3456" w:type="dxa"/>
          </w:tcPr>
          <w:p w14:paraId="29A54BB4" w14:textId="77777777" w:rsidR="009B6FD7" w:rsidRPr="00F92398" w:rsidRDefault="009B6FD7" w:rsidP="00DB6D88">
            <w:pPr>
              <w:pStyle w:val="Infotext"/>
              <w:rPr>
                <w:rFonts w:ascii="Arial Black" w:hAnsi="Arial Black" w:cs="Arial"/>
              </w:rPr>
            </w:pPr>
          </w:p>
          <w:p w14:paraId="4555FF1F" w14:textId="77777777" w:rsidR="009B6FD7" w:rsidRPr="00F92398" w:rsidRDefault="009B6FD7" w:rsidP="00DB6D88">
            <w:pPr>
              <w:pStyle w:val="Infotext"/>
              <w:rPr>
                <w:rFonts w:ascii="Arial Black" w:hAnsi="Arial Black" w:cs="Arial"/>
              </w:rPr>
            </w:pPr>
            <w:r w:rsidRPr="00F92398">
              <w:rPr>
                <w:rFonts w:ascii="Arial Black" w:hAnsi="Arial Black" w:cs="Arial"/>
              </w:rPr>
              <w:t>Enclosures:</w:t>
            </w:r>
          </w:p>
          <w:p w14:paraId="0F293416" w14:textId="77777777" w:rsidR="009B6FD7" w:rsidRPr="00F92398" w:rsidRDefault="009B6FD7" w:rsidP="00DB6D88">
            <w:pPr>
              <w:pStyle w:val="Infotext"/>
              <w:rPr>
                <w:rFonts w:ascii="Arial Black" w:hAnsi="Arial Black" w:cs="Arial"/>
              </w:rPr>
            </w:pPr>
          </w:p>
        </w:tc>
        <w:tc>
          <w:tcPr>
            <w:tcW w:w="5054" w:type="dxa"/>
          </w:tcPr>
          <w:p w14:paraId="3ABFF214" w14:textId="77777777" w:rsidR="009B6FD7" w:rsidRDefault="009B6FD7" w:rsidP="00DB6D88">
            <w:pPr>
              <w:pStyle w:val="Infotext"/>
            </w:pPr>
          </w:p>
          <w:p w14:paraId="70B6CB0B" w14:textId="7BD77D4D" w:rsidR="006D37CF" w:rsidRDefault="006D37CF" w:rsidP="00DB6D88">
            <w:pPr>
              <w:pStyle w:val="Infotext"/>
            </w:pPr>
            <w:r>
              <w:t>Prevention in the partnership slide deck</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1976BF" w14:paraId="6582A1DA" w14:textId="77777777" w:rsidTr="003001B0">
        <w:trPr>
          <w:tblHeader/>
        </w:trPr>
        <w:tc>
          <w:tcPr>
            <w:tcW w:w="8309" w:type="dxa"/>
            <w:tcBorders>
              <w:top w:val="nil"/>
              <w:left w:val="nil"/>
              <w:bottom w:val="single" w:sz="4" w:space="0" w:color="auto"/>
              <w:right w:val="nil"/>
            </w:tcBorders>
          </w:tcPr>
          <w:p w14:paraId="39DA962F" w14:textId="77777777" w:rsidR="003001B0" w:rsidRDefault="003001B0" w:rsidP="00DB6D88">
            <w:pPr>
              <w:pStyle w:val="Heading2"/>
              <w:spacing w:before="240"/>
            </w:pPr>
          </w:p>
          <w:p w14:paraId="4306589F" w14:textId="16D66482" w:rsidR="001976BF" w:rsidRDefault="001976BF" w:rsidP="00DB6D88">
            <w:pPr>
              <w:pStyle w:val="Heading2"/>
              <w:spacing w:before="240"/>
            </w:pPr>
            <w:r>
              <w:t>Section 1 – Summary and Recommendations</w:t>
            </w:r>
          </w:p>
        </w:tc>
      </w:tr>
      <w:tr w:rsidR="001976BF" w14:paraId="7319AC6E" w14:textId="77777777" w:rsidTr="003001B0">
        <w:trPr>
          <w:tblHeader/>
        </w:trPr>
        <w:tc>
          <w:tcPr>
            <w:tcW w:w="8309" w:type="dxa"/>
            <w:tcBorders>
              <w:left w:val="nil"/>
              <w:bottom w:val="nil"/>
              <w:right w:val="nil"/>
            </w:tcBorders>
          </w:tcPr>
          <w:p w14:paraId="5F881D15" w14:textId="00FF9665" w:rsidR="001976BF" w:rsidRPr="00233193" w:rsidRDefault="001976BF" w:rsidP="00DB6D88">
            <w:r w:rsidRPr="00233193">
              <w:t>This report sets out</w:t>
            </w:r>
            <w:r w:rsidR="00CA06F5" w:rsidRPr="00233193">
              <w:t xml:space="preserve"> </w:t>
            </w:r>
            <w:r w:rsidR="0075757B" w:rsidRPr="00233193">
              <w:t>an</w:t>
            </w:r>
            <w:r w:rsidR="00CA06F5" w:rsidRPr="00233193">
              <w:t xml:space="preserve"> </w:t>
            </w:r>
            <w:r w:rsidR="008C03B1" w:rsidRPr="00233193">
              <w:t>application of a preventative strategy</w:t>
            </w:r>
            <w:r w:rsidR="00BF66D9" w:rsidRPr="00233193">
              <w:t>, and us</w:t>
            </w:r>
            <w:r w:rsidR="0075757B" w:rsidRPr="00233193">
              <w:t>es</w:t>
            </w:r>
            <w:r w:rsidR="00BF66D9" w:rsidRPr="00233193">
              <w:t xml:space="preserve"> the example of</w:t>
            </w:r>
            <w:r w:rsidR="008C03B1" w:rsidRPr="00233193">
              <w:t xml:space="preserve"> physical activity and falls. The </w:t>
            </w:r>
            <w:r w:rsidR="00B5039C" w:rsidRPr="00233193">
              <w:t xml:space="preserve">paper </w:t>
            </w:r>
            <w:r w:rsidR="0075757B" w:rsidRPr="00233193">
              <w:t>highlights the role of partners in</w:t>
            </w:r>
            <w:r w:rsidR="005E2C3D" w:rsidRPr="00233193">
              <w:t xml:space="preserve"> understanding the opportunities for prevention within their particular settings.</w:t>
            </w:r>
            <w:r w:rsidR="00826B90" w:rsidRPr="00233193">
              <w:t xml:space="preserve"> </w:t>
            </w:r>
            <w:r w:rsidR="00FA178A" w:rsidRPr="00233193">
              <w:t xml:space="preserve"> </w:t>
            </w:r>
          </w:p>
          <w:p w14:paraId="03D09642" w14:textId="77777777" w:rsidR="001976BF" w:rsidRDefault="001976BF" w:rsidP="00DB6D88">
            <w:pPr>
              <w:rPr>
                <w:rFonts w:ascii="Arial Bold" w:hAnsi="Arial Bold"/>
                <w:b/>
                <w:sz w:val="28"/>
              </w:rPr>
            </w:pPr>
          </w:p>
          <w:p w14:paraId="74211D77" w14:textId="77777777" w:rsidR="001976BF" w:rsidRPr="00A160B2" w:rsidRDefault="001976BF" w:rsidP="00DB6D88">
            <w:pPr>
              <w:rPr>
                <w:rFonts w:ascii="Arial Bold" w:hAnsi="Arial Bold"/>
                <w:b/>
                <w:sz w:val="28"/>
              </w:rPr>
            </w:pPr>
            <w:r w:rsidRPr="00A160B2">
              <w:rPr>
                <w:rFonts w:ascii="Arial Bold" w:hAnsi="Arial Bold"/>
                <w:b/>
                <w:sz w:val="28"/>
              </w:rPr>
              <w:t xml:space="preserve">Recommendations: </w:t>
            </w:r>
          </w:p>
          <w:p w14:paraId="5C0FAB2C" w14:textId="77777777" w:rsidR="003B33D2" w:rsidRDefault="001976BF" w:rsidP="001976BF">
            <w:r>
              <w:t>The Board is requested to:</w:t>
            </w:r>
            <w:r w:rsidR="000D235A">
              <w:t xml:space="preserve"> </w:t>
            </w:r>
          </w:p>
          <w:p w14:paraId="4318BA1E" w14:textId="77777777" w:rsidR="003B33D2" w:rsidRDefault="000D235A" w:rsidP="003B33D2">
            <w:pPr>
              <w:pStyle w:val="ListParagraph"/>
              <w:numPr>
                <w:ilvl w:val="0"/>
                <w:numId w:val="19"/>
              </w:numPr>
            </w:pPr>
            <w:r>
              <w:t xml:space="preserve">Approve the approach </w:t>
            </w:r>
          </w:p>
          <w:p w14:paraId="357466FA" w14:textId="09617C87" w:rsidR="001976BF" w:rsidRDefault="003B33D2" w:rsidP="003B33D2">
            <w:pPr>
              <w:pStyle w:val="ListParagraph"/>
              <w:numPr>
                <w:ilvl w:val="0"/>
                <w:numId w:val="19"/>
              </w:numPr>
            </w:pPr>
            <w:r>
              <w:t>T</w:t>
            </w:r>
            <w:r w:rsidR="002578ED">
              <w:t>o identify leads within their organisations</w:t>
            </w:r>
            <w:r>
              <w:t xml:space="preserve"> to continue the deployment</w:t>
            </w:r>
            <w:r w:rsidR="002C6B45">
              <w:t>.</w:t>
            </w:r>
          </w:p>
          <w:p w14:paraId="4D9F4B54" w14:textId="579DB140" w:rsidR="001976BF" w:rsidRDefault="001976BF" w:rsidP="001976BF">
            <w:r>
              <w:t xml:space="preserve"> </w:t>
            </w:r>
          </w:p>
        </w:tc>
      </w:tr>
    </w:tbl>
    <w:p w14:paraId="68108ED4" w14:textId="77777777" w:rsidR="00A029F2" w:rsidRDefault="00A029F2" w:rsidP="009B6FD7">
      <w:pPr>
        <w:pStyle w:val="Heading2"/>
      </w:pPr>
    </w:p>
    <w:p w14:paraId="3AF8ECC6" w14:textId="7DE57D9B" w:rsidR="009B6FD7" w:rsidRDefault="009B6FD7" w:rsidP="009B6FD7">
      <w:pPr>
        <w:pStyle w:val="Heading2"/>
      </w:pPr>
      <w:r>
        <w:lastRenderedPageBreak/>
        <w:t>Section 2 – Report</w:t>
      </w:r>
    </w:p>
    <w:p w14:paraId="66D7AA23" w14:textId="4769F18D" w:rsidR="00140AA0" w:rsidRPr="000A064E" w:rsidRDefault="00140AA0" w:rsidP="00140AA0">
      <w:pPr>
        <w:spacing w:line="257" w:lineRule="auto"/>
        <w:rPr>
          <w:rFonts w:eastAsia="Arial" w:cs="Arial"/>
          <w:szCs w:val="24"/>
        </w:rPr>
      </w:pPr>
      <w:r w:rsidRPr="000A064E">
        <w:rPr>
          <w:rFonts w:eastAsia="Arial" w:cs="Arial"/>
          <w:szCs w:val="24"/>
        </w:rPr>
        <w:t>The Prevention in the Partnership programme assesses the local offer of opportunities for residents of all ages, to help prevent them from developing adverse health outcomes, or from health conditions from getting worse. Mapping this offer will support its promotion, as well as signposting and navigating.</w:t>
      </w:r>
    </w:p>
    <w:p w14:paraId="1CAD1DFE" w14:textId="77777777" w:rsidR="00140AA0" w:rsidRPr="000A064E" w:rsidRDefault="00140AA0" w:rsidP="00140AA0">
      <w:pPr>
        <w:spacing w:line="257" w:lineRule="auto"/>
        <w:rPr>
          <w:rFonts w:eastAsia="Arial" w:cs="Arial"/>
          <w:szCs w:val="24"/>
        </w:rPr>
      </w:pPr>
    </w:p>
    <w:p w14:paraId="73E0C8C8" w14:textId="1BD575C1" w:rsidR="00140AA0" w:rsidRPr="000A064E" w:rsidRDefault="00140AA0" w:rsidP="00140AA0">
      <w:pPr>
        <w:spacing w:line="257" w:lineRule="auto"/>
        <w:rPr>
          <w:rFonts w:eastAsia="Arial" w:cs="Arial"/>
          <w:szCs w:val="24"/>
        </w:rPr>
      </w:pPr>
      <w:r w:rsidRPr="000A064E">
        <w:rPr>
          <w:rFonts w:eastAsia="Arial" w:cs="Arial"/>
          <w:szCs w:val="24"/>
        </w:rPr>
        <w:t>The opportunities for prevention are numerous and include universal and opportunistic approaches, as well as service engagement and specific prevention initiatives.</w:t>
      </w:r>
      <w:r w:rsidR="000A064E">
        <w:rPr>
          <w:rFonts w:eastAsia="Arial" w:cs="Arial"/>
          <w:szCs w:val="24"/>
        </w:rPr>
        <w:t xml:space="preserve"> </w:t>
      </w:r>
      <w:r w:rsidRPr="000A064E">
        <w:rPr>
          <w:rFonts w:eastAsia="Arial" w:cs="Arial"/>
          <w:szCs w:val="24"/>
        </w:rPr>
        <w:t>Th</w:t>
      </w:r>
      <w:r w:rsidR="004E4624">
        <w:rPr>
          <w:rFonts w:eastAsia="Arial" w:cs="Arial"/>
          <w:szCs w:val="24"/>
        </w:rPr>
        <w:t>e</w:t>
      </w:r>
      <w:r w:rsidRPr="000A064E">
        <w:rPr>
          <w:rFonts w:eastAsia="Arial" w:cs="Arial"/>
          <w:szCs w:val="24"/>
        </w:rPr>
        <w:t xml:space="preserve"> work </w:t>
      </w:r>
      <w:r w:rsidR="000A064E">
        <w:rPr>
          <w:rFonts w:eastAsia="Arial" w:cs="Arial"/>
          <w:szCs w:val="24"/>
        </w:rPr>
        <w:t>has</w:t>
      </w:r>
      <w:r w:rsidRPr="000A064E">
        <w:rPr>
          <w:rFonts w:eastAsia="Arial" w:cs="Arial"/>
          <w:szCs w:val="24"/>
        </w:rPr>
        <w:t xml:space="preserve"> start</w:t>
      </w:r>
      <w:r w:rsidR="000A064E">
        <w:rPr>
          <w:rFonts w:eastAsia="Arial" w:cs="Arial"/>
          <w:szCs w:val="24"/>
        </w:rPr>
        <w:t>ed</w:t>
      </w:r>
      <w:r w:rsidRPr="000A064E">
        <w:rPr>
          <w:rFonts w:eastAsia="Arial" w:cs="Arial"/>
          <w:szCs w:val="24"/>
        </w:rPr>
        <w:t xml:space="preserve"> with a focus on physical activity</w:t>
      </w:r>
    </w:p>
    <w:p w14:paraId="585BAD39" w14:textId="77777777" w:rsidR="00607738" w:rsidRPr="000A064E" w:rsidRDefault="00607738" w:rsidP="001976BF">
      <w:pPr>
        <w:rPr>
          <w:szCs w:val="24"/>
        </w:rPr>
      </w:pPr>
    </w:p>
    <w:p w14:paraId="12650312" w14:textId="77777777" w:rsidR="000873AE" w:rsidRPr="000A064E" w:rsidRDefault="000873AE" w:rsidP="000873AE">
      <w:pPr>
        <w:spacing w:line="257" w:lineRule="auto"/>
        <w:rPr>
          <w:rFonts w:eastAsia="Arial" w:cs="Arial"/>
          <w:szCs w:val="24"/>
        </w:rPr>
      </w:pPr>
      <w:r w:rsidRPr="000A064E">
        <w:rPr>
          <w:rFonts w:eastAsia="Arial" w:cs="Arial"/>
          <w:szCs w:val="24"/>
        </w:rPr>
        <w:t>There are three tiers to prevention as demonstrated in Diagram 1. These tiers prove a useful framework onto which we can append the respective programmes of the partnership. The prevention programme will also be driven by the priorities and principles of the draft Health and Wellbeing Strategy, which calls on all partners to demonstrate how we build prevention into every opportunity.</w:t>
      </w:r>
    </w:p>
    <w:p w14:paraId="3C47D05A" w14:textId="77777777" w:rsidR="000873AE" w:rsidRPr="000A064E" w:rsidRDefault="000873AE" w:rsidP="000873AE">
      <w:pPr>
        <w:spacing w:line="257" w:lineRule="auto"/>
        <w:rPr>
          <w:szCs w:val="24"/>
        </w:rPr>
      </w:pPr>
    </w:p>
    <w:p w14:paraId="48337CF1" w14:textId="1F8C0669" w:rsidR="000873AE" w:rsidRDefault="000873AE" w:rsidP="000873AE">
      <w:pPr>
        <w:spacing w:line="257" w:lineRule="auto"/>
        <w:rPr>
          <w:rFonts w:eastAsia="Arial" w:cs="Arial"/>
          <w:szCs w:val="24"/>
        </w:rPr>
      </w:pPr>
      <w:r w:rsidRPr="000A064E">
        <w:rPr>
          <w:rFonts w:eastAsia="Arial" w:cs="Arial"/>
          <w:szCs w:val="24"/>
        </w:rPr>
        <w:t>The three tiers of prevention</w:t>
      </w:r>
      <w:hyperlink r:id="rId8" w:anchor="_ftn11"/>
      <w:r w:rsidRPr="000A064E">
        <w:rPr>
          <w:rFonts w:eastAsia="Arial" w:cs="Arial"/>
          <w:szCs w:val="24"/>
        </w:rPr>
        <w:t>:</w:t>
      </w:r>
    </w:p>
    <w:p w14:paraId="397694BD" w14:textId="77777777" w:rsidR="00C40F46" w:rsidRPr="000A064E" w:rsidRDefault="00C40F46" w:rsidP="000873AE">
      <w:pPr>
        <w:spacing w:line="257" w:lineRule="auto"/>
        <w:rPr>
          <w:szCs w:val="24"/>
        </w:rPr>
      </w:pPr>
    </w:p>
    <w:p w14:paraId="7A4CF440" w14:textId="77777777" w:rsidR="000873AE" w:rsidRDefault="000873AE" w:rsidP="000873AE">
      <w:pPr>
        <w:spacing w:line="257" w:lineRule="auto"/>
        <w:rPr>
          <w:rFonts w:eastAsia="Arial" w:cs="Arial"/>
          <w:szCs w:val="24"/>
        </w:rPr>
      </w:pPr>
      <w:r w:rsidRPr="00C40F46">
        <w:rPr>
          <w:rFonts w:eastAsia="Arial" w:cs="Arial"/>
          <w:b/>
          <w:bCs/>
          <w:i/>
          <w:iCs/>
          <w:szCs w:val="24"/>
        </w:rPr>
        <w:t>Primary prevention</w:t>
      </w:r>
      <w:r w:rsidRPr="000A064E">
        <w:rPr>
          <w:rFonts w:eastAsia="Arial" w:cs="Arial"/>
          <w:i/>
          <w:iCs/>
          <w:szCs w:val="24"/>
        </w:rPr>
        <w:t>:</w:t>
      </w:r>
      <w:r w:rsidRPr="000A064E">
        <w:rPr>
          <w:rFonts w:eastAsia="Arial" w:cs="Arial"/>
          <w:szCs w:val="24"/>
        </w:rPr>
        <w:t xml:space="preserve"> Taking action to reduce the incidence of disease and health problems within the population, either through universal measures that reduce lifestyle risks and their causes, or by targeting high-risk groups. This can include, for example, making it easier for people to be able to make healthier choices and therefore reduce their risk of developing diseases.</w:t>
      </w:r>
    </w:p>
    <w:p w14:paraId="3EDCC8A4" w14:textId="18A9E53A" w:rsidR="003E0764" w:rsidRPr="001353DF" w:rsidRDefault="003E0764" w:rsidP="001353DF">
      <w:pPr>
        <w:spacing w:line="257" w:lineRule="auto"/>
        <w:ind w:left="720"/>
        <w:rPr>
          <w:i/>
          <w:iCs/>
          <w:szCs w:val="24"/>
        </w:rPr>
      </w:pPr>
      <w:r w:rsidRPr="001353DF">
        <w:rPr>
          <w:rFonts w:eastAsia="Arial" w:cs="Arial"/>
          <w:b/>
          <w:bCs/>
          <w:i/>
          <w:iCs/>
          <w:szCs w:val="24"/>
        </w:rPr>
        <w:t>For physical activity</w:t>
      </w:r>
      <w:r w:rsidR="001353DF" w:rsidRPr="001353DF">
        <w:rPr>
          <w:rFonts w:eastAsia="Arial" w:cs="Arial"/>
          <w:b/>
          <w:bCs/>
          <w:i/>
          <w:iCs/>
          <w:szCs w:val="24"/>
        </w:rPr>
        <w:t>:</w:t>
      </w:r>
      <w:r w:rsidRPr="001353DF">
        <w:rPr>
          <w:rFonts w:eastAsia="Arial" w:cs="Arial"/>
          <w:i/>
          <w:iCs/>
          <w:szCs w:val="24"/>
        </w:rPr>
        <w:t xml:space="preserve"> this is </w:t>
      </w:r>
      <w:r w:rsidR="00A32162" w:rsidRPr="001353DF">
        <w:rPr>
          <w:rFonts w:eastAsia="Arial" w:cs="Arial"/>
          <w:i/>
          <w:iCs/>
          <w:szCs w:val="24"/>
        </w:rPr>
        <w:t xml:space="preserve">alerting people to the risks associated with a lack of physical activity, and promoting events </w:t>
      </w:r>
      <w:r w:rsidR="00DA3900" w:rsidRPr="001353DF">
        <w:rPr>
          <w:rFonts w:eastAsia="Arial" w:cs="Arial"/>
          <w:i/>
          <w:iCs/>
          <w:szCs w:val="24"/>
        </w:rPr>
        <w:t>that motivate people to increase their level of physical activity</w:t>
      </w:r>
      <w:r w:rsidR="004760D3">
        <w:rPr>
          <w:rFonts w:eastAsia="Arial" w:cs="Arial"/>
          <w:i/>
          <w:iCs/>
          <w:szCs w:val="24"/>
        </w:rPr>
        <w:t>.</w:t>
      </w:r>
    </w:p>
    <w:p w14:paraId="2AA7D3ED" w14:textId="77777777" w:rsidR="00C40F46" w:rsidRDefault="00C40F46" w:rsidP="000873AE">
      <w:pPr>
        <w:spacing w:line="257" w:lineRule="auto"/>
        <w:rPr>
          <w:rFonts w:eastAsia="Arial" w:cs="Arial"/>
          <w:i/>
          <w:iCs/>
          <w:szCs w:val="24"/>
        </w:rPr>
      </w:pPr>
    </w:p>
    <w:p w14:paraId="75433F1F" w14:textId="1534EE54" w:rsidR="000873AE" w:rsidRPr="000A064E" w:rsidRDefault="000873AE" w:rsidP="000873AE">
      <w:pPr>
        <w:spacing w:line="257" w:lineRule="auto"/>
        <w:rPr>
          <w:szCs w:val="24"/>
        </w:rPr>
      </w:pPr>
      <w:r w:rsidRPr="00C40F46">
        <w:rPr>
          <w:rFonts w:eastAsia="Arial" w:cs="Arial"/>
          <w:b/>
          <w:bCs/>
          <w:i/>
          <w:iCs/>
          <w:szCs w:val="24"/>
        </w:rPr>
        <w:t>Secondary prevention</w:t>
      </w:r>
      <w:r w:rsidRPr="000A064E">
        <w:rPr>
          <w:rFonts w:eastAsia="Arial" w:cs="Arial"/>
          <w:i/>
          <w:iCs/>
          <w:szCs w:val="24"/>
        </w:rPr>
        <w:t>:</w:t>
      </w:r>
      <w:r w:rsidRPr="000A064E">
        <w:rPr>
          <w:rFonts w:eastAsia="Arial" w:cs="Arial"/>
          <w:b/>
          <w:bCs/>
          <w:szCs w:val="24"/>
        </w:rPr>
        <w:t xml:space="preserve"> </w:t>
      </w:r>
      <w:r w:rsidRPr="000A064E">
        <w:rPr>
          <w:rFonts w:eastAsia="Arial" w:cs="Arial"/>
          <w:szCs w:val="24"/>
        </w:rPr>
        <w:t>Systematically detecting the early stages of disease and intervening before full symptoms develop.</w:t>
      </w:r>
    </w:p>
    <w:p w14:paraId="7A038B1D" w14:textId="4C7183E6" w:rsidR="00C40F46" w:rsidRDefault="001353DF" w:rsidP="00FB145F">
      <w:pPr>
        <w:spacing w:line="257" w:lineRule="auto"/>
        <w:ind w:left="720"/>
        <w:rPr>
          <w:rFonts w:eastAsia="Arial" w:cs="Arial"/>
          <w:i/>
          <w:iCs/>
          <w:szCs w:val="24"/>
        </w:rPr>
      </w:pPr>
      <w:r w:rsidRPr="001353DF">
        <w:rPr>
          <w:rFonts w:eastAsia="Arial" w:cs="Arial"/>
          <w:b/>
          <w:bCs/>
          <w:i/>
          <w:iCs/>
          <w:szCs w:val="24"/>
        </w:rPr>
        <w:t>For physical activity:</w:t>
      </w:r>
      <w:r w:rsidRPr="001353DF">
        <w:rPr>
          <w:rFonts w:eastAsia="Arial" w:cs="Arial"/>
          <w:i/>
          <w:iCs/>
          <w:szCs w:val="24"/>
        </w:rPr>
        <w:t xml:space="preserve"> </w:t>
      </w:r>
      <w:r w:rsidR="00FB145F">
        <w:rPr>
          <w:rFonts w:eastAsia="Arial" w:cs="Arial"/>
          <w:i/>
          <w:iCs/>
          <w:szCs w:val="24"/>
        </w:rPr>
        <w:t>T</w:t>
      </w:r>
      <w:r w:rsidRPr="001353DF">
        <w:rPr>
          <w:rFonts w:eastAsia="Arial" w:cs="Arial"/>
          <w:i/>
          <w:iCs/>
          <w:szCs w:val="24"/>
        </w:rPr>
        <w:t>his is</w:t>
      </w:r>
      <w:r>
        <w:rPr>
          <w:rFonts w:eastAsia="Arial" w:cs="Arial"/>
          <w:i/>
          <w:iCs/>
          <w:szCs w:val="24"/>
        </w:rPr>
        <w:t xml:space="preserve"> </w:t>
      </w:r>
      <w:r w:rsidR="00555AD9">
        <w:rPr>
          <w:rFonts w:eastAsia="Arial" w:cs="Arial"/>
          <w:i/>
          <w:iCs/>
          <w:szCs w:val="24"/>
        </w:rPr>
        <w:t>identifying those people at risk of falling in later years and motivating them to</w:t>
      </w:r>
      <w:r w:rsidR="00FB145F">
        <w:rPr>
          <w:rFonts w:eastAsia="Arial" w:cs="Arial"/>
          <w:i/>
          <w:iCs/>
          <w:szCs w:val="24"/>
        </w:rPr>
        <w:t xml:space="preserve"> increase their strength and </w:t>
      </w:r>
      <w:r w:rsidR="004760D3">
        <w:rPr>
          <w:rFonts w:eastAsia="Arial" w:cs="Arial"/>
          <w:i/>
          <w:iCs/>
          <w:szCs w:val="24"/>
        </w:rPr>
        <w:t>balance</w:t>
      </w:r>
      <w:r w:rsidR="00FB145F">
        <w:rPr>
          <w:rFonts w:eastAsia="Arial" w:cs="Arial"/>
          <w:i/>
          <w:iCs/>
          <w:szCs w:val="24"/>
        </w:rPr>
        <w:t xml:space="preserve"> levels</w:t>
      </w:r>
      <w:r w:rsidR="00B27820">
        <w:rPr>
          <w:rFonts w:eastAsia="Arial" w:cs="Arial"/>
          <w:i/>
          <w:iCs/>
          <w:szCs w:val="24"/>
        </w:rPr>
        <w:t xml:space="preserve"> by participating in appropriate exercises</w:t>
      </w:r>
      <w:r w:rsidR="00FB145F">
        <w:rPr>
          <w:rFonts w:eastAsia="Arial" w:cs="Arial"/>
          <w:i/>
          <w:iCs/>
          <w:szCs w:val="24"/>
        </w:rPr>
        <w:t>.</w:t>
      </w:r>
    </w:p>
    <w:p w14:paraId="6D825998" w14:textId="77777777" w:rsidR="004760D3" w:rsidRPr="001353DF" w:rsidRDefault="004760D3" w:rsidP="00FB145F">
      <w:pPr>
        <w:spacing w:line="257" w:lineRule="auto"/>
        <w:ind w:left="720"/>
        <w:rPr>
          <w:rFonts w:eastAsia="Arial" w:cs="Arial"/>
          <w:b/>
          <w:bCs/>
          <w:i/>
          <w:iCs/>
          <w:szCs w:val="24"/>
        </w:rPr>
      </w:pPr>
    </w:p>
    <w:p w14:paraId="2FD97C7A" w14:textId="4E1440B7" w:rsidR="000873AE" w:rsidRDefault="000873AE" w:rsidP="000873AE">
      <w:pPr>
        <w:spacing w:line="257" w:lineRule="auto"/>
        <w:rPr>
          <w:rFonts w:eastAsia="Arial" w:cs="Arial"/>
          <w:szCs w:val="24"/>
        </w:rPr>
      </w:pPr>
      <w:r w:rsidRPr="00C40F46">
        <w:rPr>
          <w:rFonts w:eastAsia="Arial" w:cs="Arial"/>
          <w:b/>
          <w:bCs/>
          <w:i/>
          <w:iCs/>
          <w:szCs w:val="24"/>
        </w:rPr>
        <w:t>Tertiary prevention</w:t>
      </w:r>
      <w:r w:rsidRPr="000A064E">
        <w:rPr>
          <w:rFonts w:eastAsia="Arial" w:cs="Arial"/>
          <w:i/>
          <w:iCs/>
          <w:szCs w:val="24"/>
        </w:rPr>
        <w:t>:</w:t>
      </w:r>
      <w:r w:rsidRPr="000A064E">
        <w:rPr>
          <w:rFonts w:eastAsia="Arial" w:cs="Arial"/>
          <w:szCs w:val="24"/>
        </w:rPr>
        <w:t xml:space="preserve"> Softening the impact of an ongoing illness, or injury that has lasting effects. This is done by helping people manage long-term, often complex health problems and injuries (e.g. chronic diseases, permanent impairments), in order to improve as much as possible their ability to function, </w:t>
      </w:r>
      <w:r w:rsidRPr="001C000C">
        <w:rPr>
          <w:rFonts w:eastAsia="Arial" w:cs="Arial"/>
          <w:szCs w:val="24"/>
        </w:rPr>
        <w:t>their quality of life, and their life expectancy.</w:t>
      </w:r>
    </w:p>
    <w:p w14:paraId="5496D2C8" w14:textId="39DDF668" w:rsidR="00FB145F" w:rsidRPr="00FB145F" w:rsidRDefault="00FB145F" w:rsidP="00B27820">
      <w:pPr>
        <w:spacing w:line="257" w:lineRule="auto"/>
        <w:ind w:left="720"/>
        <w:rPr>
          <w:i/>
          <w:iCs/>
          <w:szCs w:val="24"/>
        </w:rPr>
      </w:pPr>
      <w:r>
        <w:rPr>
          <w:rFonts w:eastAsia="Arial" w:cs="Arial"/>
          <w:b/>
          <w:bCs/>
          <w:i/>
          <w:iCs/>
          <w:szCs w:val="24"/>
        </w:rPr>
        <w:t>For physical activity:</w:t>
      </w:r>
      <w:r>
        <w:rPr>
          <w:rFonts w:eastAsia="Arial" w:cs="Arial"/>
          <w:i/>
          <w:iCs/>
          <w:szCs w:val="24"/>
        </w:rPr>
        <w:t xml:space="preserve"> This is </w:t>
      </w:r>
      <w:r w:rsidR="003277D6">
        <w:rPr>
          <w:rFonts w:eastAsia="Arial" w:cs="Arial"/>
          <w:i/>
          <w:iCs/>
          <w:szCs w:val="24"/>
        </w:rPr>
        <w:t>identifying a resident as frail and building in systems and processes to</w:t>
      </w:r>
      <w:r w:rsidR="009F1723">
        <w:rPr>
          <w:rFonts w:eastAsia="Arial" w:cs="Arial"/>
          <w:i/>
          <w:iCs/>
          <w:szCs w:val="24"/>
        </w:rPr>
        <w:t xml:space="preserve"> minimise the chance of injury or illness</w:t>
      </w:r>
      <w:r w:rsidR="004760D3">
        <w:rPr>
          <w:rFonts w:eastAsia="Arial" w:cs="Arial"/>
          <w:i/>
          <w:iCs/>
          <w:szCs w:val="24"/>
        </w:rPr>
        <w:t>.</w:t>
      </w:r>
    </w:p>
    <w:p w14:paraId="392A3EAC" w14:textId="72021B9C" w:rsidR="000873AE" w:rsidRDefault="000873AE" w:rsidP="000873AE">
      <w:pPr>
        <w:spacing w:line="257" w:lineRule="auto"/>
      </w:pPr>
    </w:p>
    <w:p w14:paraId="7BD5886D" w14:textId="77777777" w:rsidR="00140AA0" w:rsidRDefault="00140AA0" w:rsidP="001976BF">
      <w:pPr>
        <w:rPr>
          <w:sz w:val="28"/>
        </w:rPr>
      </w:pPr>
    </w:p>
    <w:p w14:paraId="434A4047" w14:textId="77777777" w:rsidR="00607738" w:rsidRDefault="00607738" w:rsidP="001976BF">
      <w:pPr>
        <w:rPr>
          <w:sz w:val="28"/>
        </w:rPr>
      </w:pPr>
    </w:p>
    <w:p w14:paraId="537D5BE8" w14:textId="77777777" w:rsidR="00607738" w:rsidRDefault="00607738" w:rsidP="001976BF">
      <w:pPr>
        <w:rPr>
          <w:sz w:val="28"/>
        </w:rPr>
      </w:pPr>
    </w:p>
    <w:p w14:paraId="0ADD9667" w14:textId="77777777" w:rsidR="00607738" w:rsidRDefault="00607738" w:rsidP="001976BF">
      <w:pPr>
        <w:rPr>
          <w:sz w:val="28"/>
        </w:rPr>
      </w:pPr>
    </w:p>
    <w:p w14:paraId="613D2FE0" w14:textId="77777777" w:rsidR="001976BF" w:rsidRPr="002C12DC" w:rsidRDefault="001976BF" w:rsidP="001976BF">
      <w:pPr>
        <w:pStyle w:val="Heading3"/>
      </w:pPr>
      <w:r w:rsidRPr="002C12DC">
        <w:lastRenderedPageBreak/>
        <w:t>Considerations</w:t>
      </w:r>
    </w:p>
    <w:p w14:paraId="114A4432" w14:textId="3F997794" w:rsidR="002C12DC" w:rsidRPr="003042B1" w:rsidRDefault="00445053" w:rsidP="002C12DC">
      <w:pPr>
        <w:pStyle w:val="Heading4"/>
        <w:rPr>
          <w:b w:val="0"/>
          <w:bCs/>
          <w:sz w:val="24"/>
          <w:szCs w:val="24"/>
        </w:rPr>
      </w:pPr>
      <w:r w:rsidRPr="003042B1">
        <w:rPr>
          <w:b w:val="0"/>
          <w:bCs/>
          <w:sz w:val="24"/>
          <w:szCs w:val="24"/>
        </w:rPr>
        <w:t xml:space="preserve">The Prevention in the Partnership </w:t>
      </w:r>
      <w:r w:rsidR="003042B1">
        <w:rPr>
          <w:b w:val="0"/>
          <w:bCs/>
          <w:sz w:val="24"/>
          <w:szCs w:val="24"/>
        </w:rPr>
        <w:t>a</w:t>
      </w:r>
      <w:r w:rsidRPr="003042B1">
        <w:rPr>
          <w:b w:val="0"/>
          <w:bCs/>
          <w:sz w:val="24"/>
          <w:szCs w:val="24"/>
        </w:rPr>
        <w:t xml:space="preserve">pproach is a systematic framework that will help </w:t>
      </w:r>
      <w:r w:rsidR="00EC13FF" w:rsidRPr="003042B1">
        <w:rPr>
          <w:b w:val="0"/>
          <w:bCs/>
          <w:sz w:val="24"/>
          <w:szCs w:val="24"/>
        </w:rPr>
        <w:t xml:space="preserve">promote any gaps in prevention </w:t>
      </w:r>
      <w:r w:rsidR="00841327" w:rsidRPr="003042B1">
        <w:rPr>
          <w:b w:val="0"/>
          <w:bCs/>
          <w:sz w:val="24"/>
          <w:szCs w:val="24"/>
        </w:rPr>
        <w:t xml:space="preserve">initiatives. The approach </w:t>
      </w:r>
      <w:r w:rsidR="00577A80" w:rsidRPr="003042B1">
        <w:rPr>
          <w:b w:val="0"/>
          <w:bCs/>
          <w:sz w:val="24"/>
          <w:szCs w:val="24"/>
        </w:rPr>
        <w:t xml:space="preserve">will need a constant monitoring of the prevention initiatives in HArrow, and will initially work through the Integrated Neighbourhood Teams to ensure </w:t>
      </w:r>
      <w:r w:rsidR="003A42A9" w:rsidRPr="003042B1">
        <w:rPr>
          <w:b w:val="0"/>
          <w:bCs/>
          <w:sz w:val="24"/>
          <w:szCs w:val="24"/>
        </w:rPr>
        <w:t xml:space="preserve">staff are enabled to acknowledge, </w:t>
      </w:r>
      <w:r w:rsidR="007844EE" w:rsidRPr="003042B1">
        <w:rPr>
          <w:b w:val="0"/>
          <w:bCs/>
          <w:sz w:val="24"/>
          <w:szCs w:val="24"/>
        </w:rPr>
        <w:t>promote and</w:t>
      </w:r>
      <w:r w:rsidR="003A42A9" w:rsidRPr="003042B1">
        <w:rPr>
          <w:b w:val="0"/>
          <w:bCs/>
          <w:sz w:val="24"/>
          <w:szCs w:val="24"/>
        </w:rPr>
        <w:t xml:space="preserve"> refer residents </w:t>
      </w:r>
      <w:r w:rsidR="007844EE" w:rsidRPr="003042B1">
        <w:rPr>
          <w:b w:val="0"/>
          <w:bCs/>
          <w:sz w:val="24"/>
          <w:szCs w:val="24"/>
        </w:rPr>
        <w:t>as appropriate.</w:t>
      </w:r>
    </w:p>
    <w:p w14:paraId="0E510DC9" w14:textId="77777777" w:rsidR="007844EE" w:rsidRPr="003042B1" w:rsidRDefault="007844EE" w:rsidP="007844EE">
      <w:pPr>
        <w:rPr>
          <w:bCs/>
          <w:szCs w:val="24"/>
        </w:rPr>
      </w:pPr>
    </w:p>
    <w:p w14:paraId="0362894F" w14:textId="612987C4" w:rsidR="001976BF" w:rsidRPr="003042B1" w:rsidRDefault="001976BF" w:rsidP="000C0FB9">
      <w:pPr>
        <w:pStyle w:val="Heading4"/>
        <w:rPr>
          <w:sz w:val="24"/>
          <w:szCs w:val="24"/>
        </w:rPr>
      </w:pPr>
      <w:r w:rsidRPr="003042B1">
        <w:rPr>
          <w:sz w:val="24"/>
          <w:szCs w:val="24"/>
        </w:rPr>
        <w:t>Resources, costs and risks</w:t>
      </w:r>
    </w:p>
    <w:p w14:paraId="04AA9CD3" w14:textId="77777777" w:rsidR="00FB2A02" w:rsidRDefault="007844EE" w:rsidP="007844EE">
      <w:pPr>
        <w:pStyle w:val="Heading4"/>
        <w:rPr>
          <w:b w:val="0"/>
          <w:bCs/>
          <w:sz w:val="24"/>
          <w:szCs w:val="24"/>
        </w:rPr>
      </w:pPr>
      <w:r w:rsidRPr="003042B1">
        <w:rPr>
          <w:b w:val="0"/>
          <w:bCs/>
          <w:sz w:val="24"/>
          <w:szCs w:val="24"/>
        </w:rPr>
        <w:t xml:space="preserve">Each prevention area will be </w:t>
      </w:r>
      <w:r w:rsidR="002400AE" w:rsidRPr="003042B1">
        <w:rPr>
          <w:b w:val="0"/>
          <w:bCs/>
          <w:sz w:val="24"/>
          <w:szCs w:val="24"/>
        </w:rPr>
        <w:t xml:space="preserve">designed and implemented as separate projects, therefore the resources, and costs for the approach are within the current establishment. </w:t>
      </w:r>
    </w:p>
    <w:p w14:paraId="1D49EAF9" w14:textId="33B8C866" w:rsidR="007844EE" w:rsidRPr="003042B1" w:rsidRDefault="00F65C6A" w:rsidP="007844EE">
      <w:pPr>
        <w:pStyle w:val="Heading4"/>
        <w:rPr>
          <w:b w:val="0"/>
          <w:bCs/>
          <w:sz w:val="24"/>
          <w:szCs w:val="24"/>
        </w:rPr>
      </w:pPr>
      <w:r w:rsidRPr="003042B1">
        <w:rPr>
          <w:b w:val="0"/>
          <w:bCs/>
          <w:sz w:val="24"/>
          <w:szCs w:val="24"/>
        </w:rPr>
        <w:t xml:space="preserve">The ongoing risks for the approach are that </w:t>
      </w:r>
    </w:p>
    <w:p w14:paraId="341678E0" w14:textId="77777777" w:rsidR="001976BF" w:rsidRPr="003042B1" w:rsidRDefault="001976BF" w:rsidP="000C0FB9">
      <w:pPr>
        <w:pStyle w:val="Heading4"/>
        <w:rPr>
          <w:sz w:val="24"/>
          <w:szCs w:val="24"/>
        </w:rPr>
      </w:pPr>
      <w:r w:rsidRPr="003042B1">
        <w:rPr>
          <w:sz w:val="24"/>
          <w:szCs w:val="24"/>
        </w:rPr>
        <w:t>Equalities impact</w:t>
      </w:r>
    </w:p>
    <w:p w14:paraId="04B99B30" w14:textId="77777777" w:rsidR="00676400" w:rsidRPr="000C0FB9" w:rsidRDefault="00676400" w:rsidP="000C0FB9"/>
    <w:p w14:paraId="63E4DD15" w14:textId="77777777" w:rsidR="001976BF" w:rsidRDefault="001976BF" w:rsidP="001976BF">
      <w:pPr>
        <w:ind w:left="720"/>
        <w:rPr>
          <w:rFonts w:ascii="Arial Bold" w:hAnsi="Arial Bold"/>
          <w:b/>
        </w:rPr>
      </w:pPr>
    </w:p>
    <w:p w14:paraId="5E0249F7" w14:textId="1F77A016" w:rsidR="001976BF" w:rsidRPr="001976BF" w:rsidRDefault="001976BF" w:rsidP="001976BF">
      <w:pPr>
        <w:rPr>
          <w:rFonts w:ascii="Arial Bold" w:hAnsi="Arial Bold"/>
          <w:b/>
          <w:sz w:val="28"/>
        </w:rPr>
      </w:pPr>
      <w:r w:rsidRPr="001976BF">
        <w:rPr>
          <w:rFonts w:ascii="Arial Bold" w:hAnsi="Arial Bold"/>
          <w:b/>
          <w:sz w:val="28"/>
        </w:rPr>
        <w:t>Ward Councillors’ comments</w:t>
      </w:r>
      <w:r w:rsidR="00A029F2">
        <w:rPr>
          <w:rFonts w:ascii="Arial Bold" w:hAnsi="Arial Bold"/>
          <w:b/>
          <w:sz w:val="28"/>
        </w:rPr>
        <w:t xml:space="preserve"> N/A</w:t>
      </w:r>
    </w:p>
    <w:p w14:paraId="18DC72AF" w14:textId="77777777" w:rsidR="002A2389" w:rsidRDefault="002A2389" w:rsidP="00FF4BB9">
      <w:pPr>
        <w:pStyle w:val="Heading3"/>
      </w:pPr>
      <w:r>
        <w:t>Financial Implications</w:t>
      </w:r>
      <w:r w:rsidR="00BE1C78">
        <w:t xml:space="preserve">/Comments </w:t>
      </w:r>
    </w:p>
    <w:p w14:paraId="4B74A4FF" w14:textId="5158BAF6" w:rsidR="00E53421" w:rsidRPr="00E53421" w:rsidRDefault="00E53421" w:rsidP="00E53421">
      <w:pPr>
        <w:rPr>
          <w:rFonts w:ascii="Calibri" w:hAnsi="Calibri"/>
          <w:sz w:val="22"/>
        </w:rPr>
      </w:pPr>
      <w:r w:rsidRPr="00E53421">
        <w:t>There are no direct costs associated with delivering the health and wellbeing</w:t>
      </w:r>
    </w:p>
    <w:p w14:paraId="54EAB988" w14:textId="77777777" w:rsidR="00E53421" w:rsidRPr="00E53421" w:rsidRDefault="00E53421" w:rsidP="00E53421">
      <w:r w:rsidRPr="00E53421">
        <w:t>strategy.</w:t>
      </w:r>
    </w:p>
    <w:p w14:paraId="4BDC69A7" w14:textId="77777777" w:rsidR="00E53421" w:rsidRPr="00E53421" w:rsidRDefault="00E53421" w:rsidP="00E53421"/>
    <w:p w14:paraId="61CDFDF0" w14:textId="77777777" w:rsidR="00E53421" w:rsidRPr="00E53421" w:rsidRDefault="00E53421" w:rsidP="00E53421">
      <w:r w:rsidRPr="00E53421">
        <w:t>Whilst there are no additional direct financial implications arising from this</w:t>
      </w:r>
    </w:p>
    <w:p w14:paraId="3693CAF6" w14:textId="77777777" w:rsidR="00E53421" w:rsidRPr="00E53421" w:rsidRDefault="00E53421" w:rsidP="00E53421">
      <w:r w:rsidRPr="00E53421">
        <w:t>report, the prioritisation of strategy, through the wider system, will need to be</w:t>
      </w:r>
    </w:p>
    <w:p w14:paraId="5EDE12FC" w14:textId="77777777" w:rsidR="00E53421" w:rsidRPr="00E53421" w:rsidRDefault="00E53421" w:rsidP="00E53421">
      <w:r w:rsidRPr="00E53421">
        <w:t>contained within existing partner resources, which includes the annual public</w:t>
      </w:r>
    </w:p>
    <w:p w14:paraId="088B42AA" w14:textId="77777777" w:rsidR="00E53421" w:rsidRPr="00E53421" w:rsidRDefault="00E53421" w:rsidP="00E53421">
      <w:r w:rsidRPr="00E53421">
        <w:t>health grant.</w:t>
      </w:r>
    </w:p>
    <w:p w14:paraId="5C2850E8" w14:textId="6189238F" w:rsidR="001417FD" w:rsidRDefault="001417FD" w:rsidP="001976BF">
      <w:pPr>
        <w:spacing w:after="240"/>
      </w:pPr>
    </w:p>
    <w:p w14:paraId="11B4AA01" w14:textId="77777777" w:rsidR="001417FD" w:rsidRDefault="001417FD" w:rsidP="00FF4BB9">
      <w:pPr>
        <w:pStyle w:val="Heading3"/>
      </w:pPr>
      <w:r w:rsidRPr="001417FD">
        <w:t xml:space="preserve">Legal Implications/Comments </w:t>
      </w:r>
    </w:p>
    <w:p w14:paraId="0D18D859" w14:textId="77777777" w:rsidR="00CC7DAE" w:rsidRPr="00CC7DAE" w:rsidRDefault="00CC7DAE" w:rsidP="00CC7DAE">
      <w:pPr>
        <w:jc w:val="both"/>
        <w:rPr>
          <w:rFonts w:ascii="Calibri" w:hAnsi="Calibri"/>
          <w:color w:val="000000"/>
          <w:sz w:val="22"/>
          <w:lang w:eastAsia="en-GB"/>
        </w:rPr>
      </w:pPr>
      <w:r w:rsidRPr="00CC7DAE">
        <w:rPr>
          <w:color w:val="000000"/>
        </w:rPr>
        <w:t xml:space="preserve">Section 116A of the Local Government and Public Involvement in Health Act 2007, stipulates that it is the responsibility of the local authority and integrated care boards to prepare a local health and wellbeing strategy. </w:t>
      </w:r>
    </w:p>
    <w:p w14:paraId="0D307E24" w14:textId="77777777" w:rsidR="00CC7DAE" w:rsidRPr="00CC7DAE" w:rsidRDefault="00CC7DAE" w:rsidP="00CC7DAE">
      <w:pPr>
        <w:jc w:val="both"/>
        <w:rPr>
          <w:color w:val="000000"/>
        </w:rPr>
      </w:pPr>
      <w:r w:rsidRPr="00CC7DAE">
        <w:rPr>
          <w:color w:val="000000"/>
        </w:rPr>
        <w:t> </w:t>
      </w:r>
    </w:p>
    <w:p w14:paraId="1863DA36" w14:textId="77777777" w:rsidR="00CC7DAE" w:rsidRPr="00CC7DAE" w:rsidRDefault="00CC7DAE" w:rsidP="00CC7DAE">
      <w:pPr>
        <w:jc w:val="both"/>
        <w:rPr>
          <w:color w:val="000000"/>
        </w:rPr>
      </w:pPr>
      <w:r w:rsidRPr="00CC7DAE">
        <w:rPr>
          <w:color w:val="000000"/>
        </w:rPr>
        <w:t xml:space="preserve">The Health and Social Care Act 2012 provides responsibility to the Health and Wellbeing Board for the oversight of the local health and wellbeing strategy.  </w:t>
      </w:r>
    </w:p>
    <w:p w14:paraId="49B706C2" w14:textId="77777777" w:rsidR="00CC7DAE" w:rsidRPr="00CC7DAE" w:rsidRDefault="00CC7DAE" w:rsidP="00CC7DAE">
      <w:pPr>
        <w:jc w:val="both"/>
        <w:rPr>
          <w:color w:val="000000"/>
        </w:rPr>
      </w:pPr>
      <w:r w:rsidRPr="00CC7DAE">
        <w:rPr>
          <w:color w:val="000000"/>
        </w:rPr>
        <w:t xml:space="preserve">The purpose of the Board is to improve health and wellbeing for the residents of Harrow and reduce inequalities in outcomes. The Board will hold partner agencies to account for delivering improvements to the provision of health, adult and children’s services social care and housing services. </w:t>
      </w:r>
    </w:p>
    <w:p w14:paraId="0D8B22B6" w14:textId="77777777" w:rsidR="00CC7DAE" w:rsidRPr="00CC7DAE" w:rsidRDefault="00CC7DAE" w:rsidP="00CC7DAE">
      <w:pPr>
        <w:jc w:val="both"/>
        <w:rPr>
          <w:color w:val="000000"/>
        </w:rPr>
      </w:pPr>
      <w:r w:rsidRPr="00CC7DAE">
        <w:rPr>
          <w:color w:val="000000"/>
        </w:rPr>
        <w:t> </w:t>
      </w:r>
    </w:p>
    <w:p w14:paraId="2DBF589D" w14:textId="77777777" w:rsidR="00CC7DAE" w:rsidRPr="00CC7DAE" w:rsidRDefault="00CC7DAE" w:rsidP="00CC7DAE">
      <w:pPr>
        <w:jc w:val="both"/>
        <w:rPr>
          <w:color w:val="000000"/>
        </w:rPr>
      </w:pPr>
      <w:r w:rsidRPr="00CC7DAE">
        <w:rPr>
          <w:color w:val="000000"/>
        </w:rPr>
        <w:t xml:space="preserve">A key responsibility is to consider how to best use the totality of resources available for health and wellbeing, subject to the governance processes </w:t>
      </w:r>
    </w:p>
    <w:p w14:paraId="20B7573A" w14:textId="4DC19CE5" w:rsidR="00CC7DAE" w:rsidRPr="00CC7DAE" w:rsidRDefault="00CC7DAE" w:rsidP="00CC7DAE">
      <w:pPr>
        <w:jc w:val="both"/>
        <w:rPr>
          <w:color w:val="000000"/>
        </w:rPr>
      </w:pPr>
      <w:r w:rsidRPr="00CC7DAE">
        <w:rPr>
          <w:color w:val="000000"/>
        </w:rPr>
        <w:t>of the respective partner organisations as appropriate</w:t>
      </w:r>
      <w:r>
        <w:rPr>
          <w:color w:val="000000"/>
        </w:rPr>
        <w:t>.</w:t>
      </w:r>
    </w:p>
    <w:p w14:paraId="349A1DE5" w14:textId="77777777" w:rsidR="00CC7DAE" w:rsidRDefault="00CC7DAE" w:rsidP="00CC7DAE">
      <w:pPr>
        <w:jc w:val="both"/>
        <w:rPr>
          <w:color w:val="000000"/>
        </w:rPr>
      </w:pPr>
      <w:r>
        <w:rPr>
          <w:color w:val="000000"/>
        </w:rPr>
        <w:lastRenderedPageBreak/>
        <w:t> </w:t>
      </w:r>
    </w:p>
    <w:p w14:paraId="3CDCF4B1" w14:textId="77777777" w:rsidR="00CC7DAE" w:rsidRPr="00CC7DAE" w:rsidRDefault="00CC7DAE" w:rsidP="00CC7DAE"/>
    <w:p w14:paraId="743E6639" w14:textId="77777777" w:rsidR="00C32DAE" w:rsidRDefault="00C32DAE" w:rsidP="00FF4BB9">
      <w:pPr>
        <w:pStyle w:val="Heading3"/>
      </w:pPr>
      <w:r>
        <w:t>Risk Management Implications</w:t>
      </w:r>
    </w:p>
    <w:p w14:paraId="7363A184" w14:textId="5BA2184A" w:rsidR="00CB2D61" w:rsidRDefault="00CB2D61" w:rsidP="00CB2D61">
      <w:pPr>
        <w:tabs>
          <w:tab w:val="left" w:pos="5610"/>
        </w:tabs>
        <w:ind w:right="81"/>
        <w:rPr>
          <w:rFonts w:cs="Arial"/>
          <w:szCs w:val="24"/>
          <w:lang w:val="en-US"/>
        </w:rPr>
      </w:pPr>
      <w:r>
        <w:rPr>
          <w:rFonts w:cs="Arial"/>
          <w:szCs w:val="24"/>
          <w:lang w:val="en-US"/>
        </w:rPr>
        <w:t>The health and wellbeing strategy does not present any risks, or suggest any mitigation</w:t>
      </w:r>
    </w:p>
    <w:p w14:paraId="5038405C" w14:textId="77777777" w:rsidR="00CB2D61" w:rsidRDefault="00CB2D61" w:rsidP="00CB2D61">
      <w:pPr>
        <w:tabs>
          <w:tab w:val="left" w:pos="5610"/>
        </w:tabs>
        <w:ind w:left="567" w:right="81" w:hanging="567"/>
        <w:rPr>
          <w:rFonts w:cs="Arial"/>
          <w:szCs w:val="24"/>
          <w:lang w:val="en-US"/>
        </w:rPr>
      </w:pPr>
    </w:p>
    <w:p w14:paraId="1909E98F" w14:textId="77777777" w:rsidR="00CB2D61" w:rsidRPr="00105B8A" w:rsidRDefault="00CB2D61" w:rsidP="00CB2D61">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C51C826" w14:textId="77777777" w:rsidR="00CB2D61" w:rsidRDefault="00CB2D61" w:rsidP="00CB2D61">
      <w:pPr>
        <w:ind w:left="-142" w:right="141"/>
        <w:rPr>
          <w:rFonts w:cs="Arial"/>
          <w:szCs w:val="24"/>
          <w:lang w:val="en-US" w:eastAsia="en-GB"/>
        </w:rPr>
      </w:pPr>
      <w:r>
        <w:rPr>
          <w:rFonts w:cs="Arial"/>
          <w:szCs w:val="24"/>
          <w:lang w:val="en-US" w:eastAsia="en-GB"/>
        </w:rPr>
        <w:t xml:space="preserve">  </w:t>
      </w:r>
    </w:p>
    <w:p w14:paraId="5878324B" w14:textId="77777777" w:rsidR="00CB2D61" w:rsidRDefault="00CB2D61" w:rsidP="00CB2D61">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162E54F2" w14:textId="77777777" w:rsidR="00CB2D61" w:rsidRDefault="00CB2D61" w:rsidP="00CB2D61">
      <w:pPr>
        <w:tabs>
          <w:tab w:val="left" w:pos="5610"/>
        </w:tabs>
        <w:ind w:left="567" w:right="81" w:hanging="567"/>
      </w:pPr>
    </w:p>
    <w:p w14:paraId="0A7D7865" w14:textId="77777777" w:rsidR="00CB2D61" w:rsidRDefault="00CB2D61" w:rsidP="00CB2D61">
      <w:pPr>
        <w:tabs>
          <w:tab w:val="left" w:pos="5610"/>
        </w:tabs>
        <w:ind w:right="81"/>
      </w:pPr>
      <w:r>
        <w:t xml:space="preserve">The relevant risks contained in the register are attached/summarised below. </w:t>
      </w:r>
      <w:r>
        <w:rPr>
          <w:rFonts w:cs="Arial"/>
          <w:b/>
          <w:bCs/>
          <w:szCs w:val="24"/>
          <w:lang w:val="en-US" w:eastAsia="en-GB"/>
        </w:rPr>
        <w:t xml:space="preserve">n/a </w:t>
      </w:r>
    </w:p>
    <w:p w14:paraId="5DD4C092" w14:textId="0D9A07BD" w:rsidR="00615340" w:rsidRPr="00615340" w:rsidRDefault="00615340" w:rsidP="00CB2D61">
      <w:pPr>
        <w:ind w:right="75"/>
        <w:textAlignment w:val="baseline"/>
        <w:rPr>
          <w:rFonts w:ascii="Segoe UI" w:hAnsi="Segoe UI" w:cs="Segoe UI"/>
          <w:sz w:val="18"/>
          <w:szCs w:val="18"/>
          <w:lang w:eastAsia="en-GB"/>
        </w:rPr>
      </w:pPr>
    </w:p>
    <w:p w14:paraId="78EC3061" w14:textId="77777777" w:rsidR="00FD31A0" w:rsidRPr="00A50388" w:rsidRDefault="00A50388" w:rsidP="00FF4BB9">
      <w:pPr>
        <w:pStyle w:val="Heading3"/>
        <w:rPr>
          <w:color w:val="FF0000"/>
        </w:rPr>
      </w:pPr>
      <w:r w:rsidRPr="004A2543">
        <w:t>Equalities implications</w:t>
      </w:r>
      <w:r>
        <w:t xml:space="preserve"> </w:t>
      </w:r>
      <w:r w:rsidRPr="00333FAA">
        <w:t>/</w:t>
      </w:r>
      <w:r>
        <w:t xml:space="preserve"> </w:t>
      </w:r>
      <w:r w:rsidRPr="00333FAA">
        <w:t>Public Sector Equality Duty</w:t>
      </w:r>
    </w:p>
    <w:p w14:paraId="1808E669" w14:textId="326A5EAD" w:rsidR="00FD31A0" w:rsidRPr="004A2543" w:rsidRDefault="00FD31A0" w:rsidP="00FD31A0">
      <w:r w:rsidRPr="004A2543">
        <w:t xml:space="preserve">Was an Equality Impact Assessment carried out?  </w:t>
      </w:r>
      <w:r>
        <w:t>No</w:t>
      </w:r>
    </w:p>
    <w:p w14:paraId="287C16A6" w14:textId="77777777" w:rsidR="00FD31A0" w:rsidRPr="004A2543" w:rsidRDefault="00FD31A0" w:rsidP="00FD31A0"/>
    <w:p w14:paraId="771944BC" w14:textId="0764132E" w:rsidR="00462955" w:rsidRDefault="00462955" w:rsidP="00462955">
      <w:pPr>
        <w:rPr>
          <w:bCs/>
          <w:szCs w:val="24"/>
        </w:rPr>
      </w:pPr>
      <w:r w:rsidRPr="003042B1">
        <w:rPr>
          <w:bCs/>
          <w:szCs w:val="24"/>
        </w:rPr>
        <w:t xml:space="preserve">Each prevention initiative </w:t>
      </w:r>
      <w:r w:rsidR="00DE47FA">
        <w:rPr>
          <w:bCs/>
          <w:szCs w:val="24"/>
        </w:rPr>
        <w:t xml:space="preserve">within the approach </w:t>
      </w:r>
      <w:r w:rsidRPr="003042B1">
        <w:rPr>
          <w:bCs/>
          <w:szCs w:val="24"/>
        </w:rPr>
        <w:t xml:space="preserve">will undertake a separate Equalities Impact Assessment before they are deployed, there is no need for an Equalities impact assessment for the Prevention in </w:t>
      </w:r>
      <w:r w:rsidR="00DE47FA">
        <w:rPr>
          <w:bCs/>
          <w:szCs w:val="24"/>
        </w:rPr>
        <w:t>t</w:t>
      </w:r>
      <w:r w:rsidRPr="003042B1">
        <w:rPr>
          <w:bCs/>
          <w:szCs w:val="24"/>
        </w:rPr>
        <w:t>he Partnership approach.</w:t>
      </w:r>
    </w:p>
    <w:p w14:paraId="1E90F668" w14:textId="77777777" w:rsidR="00462955" w:rsidRPr="003042B1" w:rsidRDefault="00462955" w:rsidP="00462955">
      <w:pPr>
        <w:rPr>
          <w:bCs/>
          <w:szCs w:val="24"/>
        </w:rPr>
      </w:pPr>
    </w:p>
    <w:p w14:paraId="0AB2C319" w14:textId="77777777" w:rsidR="0026258C" w:rsidRPr="009117F2" w:rsidRDefault="0026258C" w:rsidP="0026258C">
      <w:pPr>
        <w:pStyle w:val="Heading4"/>
      </w:pPr>
      <w:r>
        <w:t xml:space="preserve">Council </w:t>
      </w:r>
      <w:r w:rsidRPr="009117F2">
        <w:t>Priorities</w:t>
      </w:r>
    </w:p>
    <w:p w14:paraId="285A3E38" w14:textId="77777777" w:rsidR="0026258C" w:rsidRDefault="0026258C" w:rsidP="0026258C">
      <w:pPr>
        <w:pStyle w:val="StyleListParagraphBold"/>
        <w:numPr>
          <w:ilvl w:val="0"/>
          <w:numId w:val="17"/>
        </w:numPr>
        <w:rPr>
          <w:lang w:eastAsia="en-US"/>
        </w:rPr>
      </w:pPr>
      <w:r w:rsidRPr="00752110">
        <w:t>A council that puts residents first</w:t>
      </w:r>
    </w:p>
    <w:p w14:paraId="04F468DF" w14:textId="5879F327" w:rsidR="003A71D2" w:rsidRPr="00094DB9" w:rsidRDefault="0004710B" w:rsidP="003A71D2">
      <w:pPr>
        <w:pStyle w:val="StyleListParagraphBold"/>
        <w:rPr>
          <w:b w:val="0"/>
          <w:bCs w:val="0"/>
          <w:lang w:eastAsia="en-US"/>
        </w:rPr>
      </w:pPr>
      <w:r>
        <w:rPr>
          <w:b w:val="0"/>
          <w:bCs w:val="0"/>
        </w:rPr>
        <w:t xml:space="preserve">The work will help to ensure that </w:t>
      </w:r>
      <w:r w:rsidR="00E27EAF">
        <w:rPr>
          <w:b w:val="0"/>
          <w:bCs w:val="0"/>
        </w:rPr>
        <w:t xml:space="preserve">wherever possible </w:t>
      </w:r>
      <w:r w:rsidR="00094DB9">
        <w:rPr>
          <w:b w:val="0"/>
          <w:bCs w:val="0"/>
        </w:rPr>
        <w:t>opportunities</w:t>
      </w:r>
      <w:r w:rsidR="00702A97">
        <w:rPr>
          <w:b w:val="0"/>
          <w:bCs w:val="0"/>
        </w:rPr>
        <w:t xml:space="preserve"> to prevent morbidity </w:t>
      </w:r>
      <w:r w:rsidR="0061167D">
        <w:rPr>
          <w:b w:val="0"/>
          <w:bCs w:val="0"/>
        </w:rPr>
        <w:t>are tailored to the particular needs and desires of residents first</w:t>
      </w:r>
      <w:r w:rsidR="00193481">
        <w:rPr>
          <w:b w:val="0"/>
          <w:bCs w:val="0"/>
        </w:rPr>
        <w:t>.</w:t>
      </w:r>
    </w:p>
    <w:p w14:paraId="2911B7AC" w14:textId="77777777" w:rsidR="0026258C" w:rsidRPr="00752110" w:rsidRDefault="0026258C" w:rsidP="0026258C">
      <w:pPr>
        <w:pStyle w:val="StyleListParagraphBold"/>
        <w:rPr>
          <w:lang w:eastAsia="en-US"/>
        </w:rPr>
      </w:pPr>
    </w:p>
    <w:p w14:paraId="44BF76A8" w14:textId="77777777" w:rsidR="0026258C" w:rsidRDefault="0026258C" w:rsidP="0026258C">
      <w:pPr>
        <w:pStyle w:val="StyleListParagraphBold"/>
        <w:numPr>
          <w:ilvl w:val="0"/>
          <w:numId w:val="17"/>
        </w:numPr>
      </w:pPr>
      <w:r w:rsidRPr="00752110">
        <w:t>A place where those in need are supported</w:t>
      </w:r>
    </w:p>
    <w:p w14:paraId="7C627C73" w14:textId="3D9EF9C5" w:rsidR="00132596" w:rsidRPr="000E5B63" w:rsidRDefault="00132596" w:rsidP="00132596">
      <w:pPr>
        <w:pStyle w:val="StyleListParagraphBold"/>
        <w:rPr>
          <w:b w:val="0"/>
          <w:bCs w:val="0"/>
        </w:rPr>
      </w:pPr>
      <w:r w:rsidRPr="000E5B63">
        <w:rPr>
          <w:b w:val="0"/>
          <w:bCs w:val="0"/>
        </w:rPr>
        <w:t xml:space="preserve">The approach is </w:t>
      </w:r>
      <w:r w:rsidR="00C7435C" w:rsidRPr="000E5B63">
        <w:rPr>
          <w:b w:val="0"/>
          <w:bCs w:val="0"/>
        </w:rPr>
        <w:t>based</w:t>
      </w:r>
      <w:r w:rsidR="000E5B63" w:rsidRPr="000E5B63">
        <w:rPr>
          <w:b w:val="0"/>
          <w:bCs w:val="0"/>
        </w:rPr>
        <w:t xml:space="preserve"> on</w:t>
      </w:r>
      <w:r w:rsidRPr="000E5B63">
        <w:rPr>
          <w:b w:val="0"/>
          <w:bCs w:val="0"/>
        </w:rPr>
        <w:t xml:space="preserve"> partnership </w:t>
      </w:r>
      <w:r w:rsidR="000E5B63" w:rsidRPr="000E5B63">
        <w:rPr>
          <w:b w:val="0"/>
          <w:bCs w:val="0"/>
        </w:rPr>
        <w:t xml:space="preserve">work </w:t>
      </w:r>
      <w:r w:rsidRPr="000E5B63">
        <w:rPr>
          <w:b w:val="0"/>
          <w:bCs w:val="0"/>
        </w:rPr>
        <w:t xml:space="preserve">between statutory and non statutory </w:t>
      </w:r>
      <w:r w:rsidR="00C7435C" w:rsidRPr="000E5B63">
        <w:rPr>
          <w:b w:val="0"/>
          <w:bCs w:val="0"/>
        </w:rPr>
        <w:t>bodies</w:t>
      </w:r>
      <w:r w:rsidR="000E5B63" w:rsidRPr="000E5B63">
        <w:rPr>
          <w:b w:val="0"/>
          <w:bCs w:val="0"/>
        </w:rPr>
        <w:t xml:space="preserve"> to identify and react to those residents at greatest risk.</w:t>
      </w:r>
    </w:p>
    <w:p w14:paraId="785091BB" w14:textId="56F48D05" w:rsidR="00D1109B" w:rsidRPr="00844981" w:rsidRDefault="002A2389" w:rsidP="00844981">
      <w:pPr>
        <w:pStyle w:val="Heading2"/>
      </w:pPr>
      <w:r w:rsidRPr="00FF4BB9">
        <w:t>Section 3 - Statutory Officer Clearance</w:t>
      </w:r>
      <w:r w:rsidR="00BE1C78" w:rsidRPr="00FF4BB9">
        <w:t xml:space="preserve"> </w:t>
      </w:r>
      <w:r w:rsidR="001417FD" w:rsidRPr="00FF4BB9">
        <w:t>(Council and Joint Reports)</w:t>
      </w:r>
    </w:p>
    <w:p w14:paraId="45F3BB61" w14:textId="77777777" w:rsidR="002A2389" w:rsidRDefault="002A2389" w:rsidP="008D1750">
      <w:pPr>
        <w:keepNext/>
        <w:rPr>
          <w:rFonts w:cs="Arial"/>
        </w:rPr>
      </w:pPr>
    </w:p>
    <w:p w14:paraId="3268493D" w14:textId="08E4F2EB" w:rsidR="00FF4BB9" w:rsidRPr="00A66326" w:rsidRDefault="00FF4BB9" w:rsidP="00FF4BB9">
      <w:pPr>
        <w:rPr>
          <w:sz w:val="28"/>
        </w:rPr>
      </w:pPr>
      <w:r w:rsidRPr="00A66326">
        <w:rPr>
          <w:b/>
          <w:sz w:val="28"/>
        </w:rPr>
        <w:t xml:space="preserve">Statutory Officer:  </w:t>
      </w:r>
      <w:r w:rsidR="00DB7F0C">
        <w:rPr>
          <w:b/>
          <w:sz w:val="28"/>
        </w:rPr>
        <w:t>Sharon Daniels</w:t>
      </w:r>
    </w:p>
    <w:p w14:paraId="63A57E10" w14:textId="6AFFA921" w:rsidR="00FF4BB9" w:rsidRPr="00DE1A34" w:rsidRDefault="00FF4BB9" w:rsidP="00FF4BB9">
      <w:r w:rsidRPr="00A66326">
        <w:t>Signed by the Chief Financial Officer</w:t>
      </w:r>
    </w:p>
    <w:p w14:paraId="5EE2177C" w14:textId="32C3002A" w:rsidR="00FF4BB9" w:rsidRDefault="00FF4BB9" w:rsidP="00FF4BB9">
      <w:pPr>
        <w:spacing w:after="480"/>
        <w:rPr>
          <w:b/>
          <w:sz w:val="28"/>
        </w:rPr>
      </w:pPr>
      <w:r w:rsidRPr="00A66326">
        <w:rPr>
          <w:b/>
          <w:sz w:val="28"/>
        </w:rPr>
        <w:t xml:space="preserve">Date:  </w:t>
      </w:r>
      <w:r w:rsidR="00DB7F0C">
        <w:rPr>
          <w:b/>
          <w:sz w:val="28"/>
        </w:rPr>
        <w:t>07/03/2024</w:t>
      </w:r>
    </w:p>
    <w:p w14:paraId="37CF976E" w14:textId="77777777" w:rsidR="00F96315" w:rsidRPr="00A66326" w:rsidRDefault="00F96315" w:rsidP="00FF4BB9">
      <w:pPr>
        <w:spacing w:after="480"/>
        <w:rPr>
          <w:sz w:val="28"/>
        </w:rPr>
      </w:pPr>
    </w:p>
    <w:p w14:paraId="22ABCA90" w14:textId="6618ABE6" w:rsidR="00FF4BB9" w:rsidRPr="00A66326" w:rsidRDefault="00FF4BB9" w:rsidP="00FF4BB9">
      <w:pPr>
        <w:rPr>
          <w:sz w:val="28"/>
        </w:rPr>
      </w:pPr>
      <w:r w:rsidRPr="00A66326">
        <w:rPr>
          <w:b/>
          <w:sz w:val="28"/>
        </w:rPr>
        <w:lastRenderedPageBreak/>
        <w:t xml:space="preserve">Statutory Officer:  </w:t>
      </w:r>
      <w:r w:rsidR="006E0C05">
        <w:rPr>
          <w:b/>
          <w:sz w:val="28"/>
        </w:rPr>
        <w:t>Sharon Clarke</w:t>
      </w:r>
    </w:p>
    <w:p w14:paraId="610956DB" w14:textId="724558B8" w:rsidR="00FF4BB9" w:rsidRPr="00DE1A34" w:rsidRDefault="00FF4BB9" w:rsidP="00FF4BB9">
      <w:r w:rsidRPr="00A66326">
        <w:t>Signed on behalf of the Monitoring Officer</w:t>
      </w:r>
    </w:p>
    <w:p w14:paraId="3E560858" w14:textId="14D4C1B6" w:rsidR="00FF4BB9" w:rsidRPr="003313EA" w:rsidRDefault="00FF4BB9" w:rsidP="00FF4BB9">
      <w:pPr>
        <w:spacing w:after="480"/>
        <w:rPr>
          <w:sz w:val="28"/>
        </w:rPr>
      </w:pPr>
      <w:r w:rsidRPr="00A66326">
        <w:rPr>
          <w:b/>
          <w:sz w:val="28"/>
        </w:rPr>
        <w:t xml:space="preserve">Date:  </w:t>
      </w:r>
      <w:r w:rsidR="006E0C05">
        <w:rPr>
          <w:b/>
          <w:sz w:val="28"/>
        </w:rPr>
        <w:t>05/03/2024</w:t>
      </w:r>
    </w:p>
    <w:p w14:paraId="058AEA52" w14:textId="14F93028" w:rsidR="00FF4BB9" w:rsidRPr="00A66326" w:rsidRDefault="001E7655" w:rsidP="00FF4BB9">
      <w:pPr>
        <w:rPr>
          <w:sz w:val="28"/>
        </w:rPr>
      </w:pPr>
      <w:r>
        <w:rPr>
          <w:b/>
          <w:sz w:val="28"/>
        </w:rPr>
        <w:t>Chief</w:t>
      </w:r>
      <w:r w:rsidR="00FF4BB9" w:rsidRPr="00A66326">
        <w:rPr>
          <w:b/>
          <w:sz w:val="28"/>
        </w:rPr>
        <w:t xml:space="preserve"> Officer:  </w:t>
      </w:r>
      <w:r w:rsidR="00F96315">
        <w:rPr>
          <w:b/>
          <w:sz w:val="28"/>
        </w:rPr>
        <w:t>Carole furlong on behalf of Senel Arkut</w:t>
      </w:r>
    </w:p>
    <w:p w14:paraId="2561DE56" w14:textId="0F721F17" w:rsidR="00FF4BB9" w:rsidRPr="008244ED" w:rsidRDefault="002C1D70" w:rsidP="00FF4BB9">
      <w:r>
        <w:t xml:space="preserve">Signed </w:t>
      </w:r>
      <w:r w:rsidR="00FF4BB9" w:rsidRPr="00A66326">
        <w:t>by the</w:t>
      </w:r>
      <w:r w:rsidR="00F96315">
        <w:t xml:space="preserve"> Director of Pub</w:t>
      </w:r>
      <w:r w:rsidR="00DE1A34">
        <w:t>l</w:t>
      </w:r>
      <w:r w:rsidR="00F96315">
        <w:t>ic Health on behalf of</w:t>
      </w:r>
      <w:r w:rsidR="00FF4BB9" w:rsidRPr="00A66326">
        <w:t xml:space="preserve"> Corporate Director</w:t>
      </w:r>
    </w:p>
    <w:p w14:paraId="369B585E" w14:textId="2C86EE66" w:rsidR="00FF4BB9" w:rsidRPr="00A66326" w:rsidRDefault="00FF4BB9" w:rsidP="00FF4BB9">
      <w:pPr>
        <w:spacing w:after="480"/>
        <w:rPr>
          <w:sz w:val="28"/>
        </w:rPr>
      </w:pPr>
      <w:r w:rsidRPr="00A66326">
        <w:rPr>
          <w:b/>
          <w:sz w:val="28"/>
        </w:rPr>
        <w:t xml:space="preserve">Date:  </w:t>
      </w:r>
      <w:r w:rsidR="00A903A6">
        <w:rPr>
          <w:b/>
          <w:sz w:val="28"/>
        </w:rPr>
        <w:t>05/03/2024</w:t>
      </w:r>
    </w:p>
    <w:p w14:paraId="0099E0CC" w14:textId="77777777" w:rsidR="00FF4BB9" w:rsidRPr="00435B5D" w:rsidRDefault="00FF4BB9" w:rsidP="00FF4BB9">
      <w:pPr>
        <w:pStyle w:val="Heading3"/>
      </w:pPr>
      <w:r>
        <w:t>Mandatory Checks</w:t>
      </w:r>
    </w:p>
    <w:p w14:paraId="2A51B300" w14:textId="50D17301" w:rsidR="00FF4BB9" w:rsidRPr="00FF4BB9" w:rsidRDefault="00FF4BB9" w:rsidP="00530D4A">
      <w:pPr>
        <w:pStyle w:val="Heading4"/>
      </w:pPr>
      <w:r w:rsidRPr="00FF4BB9">
        <w:t>Ward Councillors notified:  N</w:t>
      </w:r>
      <w:r w:rsidR="002F3735">
        <w:t>o</w:t>
      </w:r>
      <w:r w:rsidRPr="00FF4BB9">
        <w:t xml:space="preserve">, as it impacts on all Wards </w:t>
      </w:r>
    </w:p>
    <w:p w14:paraId="6B556393" w14:textId="77777777" w:rsidR="00FF4BB9" w:rsidRDefault="00FF4BB9" w:rsidP="00FF4BB9">
      <w:pPr>
        <w:pStyle w:val="Heading2"/>
        <w:keepNext/>
      </w:pPr>
      <w:r>
        <w:t>Section 4 - Contact Details and Background Papers</w:t>
      </w:r>
    </w:p>
    <w:p w14:paraId="45D9F7F9" w14:textId="74D3D4BB" w:rsidR="00FF4BB9" w:rsidRPr="002F3735" w:rsidRDefault="00FF4BB9" w:rsidP="00FF4BB9">
      <w:pPr>
        <w:pStyle w:val="Infotext"/>
        <w:rPr>
          <w:color w:val="FF0000"/>
        </w:rPr>
      </w:pPr>
      <w:r w:rsidRPr="00D914D2">
        <w:rPr>
          <w:b/>
        </w:rPr>
        <w:t>Contact:</w:t>
      </w:r>
      <w:r>
        <w:t xml:space="preserve">  </w:t>
      </w:r>
      <w:r w:rsidR="00424B9F" w:rsidRPr="00C9556D">
        <w:rPr>
          <w:rFonts w:cs="Arial"/>
          <w:color w:val="000000" w:themeColor="text1"/>
          <w:sz w:val="24"/>
        </w:rPr>
        <w:t xml:space="preserve">Carole Furlong, Director of Public Health </w:t>
      </w:r>
      <w:hyperlink r:id="rId9" w:history="1">
        <w:r w:rsidR="00C9556D" w:rsidRPr="00412195">
          <w:rPr>
            <w:rStyle w:val="Hyperlink"/>
            <w:rFonts w:cs="Arial"/>
            <w:sz w:val="24"/>
          </w:rPr>
          <w:t>carole.furlong@harrow.gov.uk</w:t>
        </w:r>
      </w:hyperlink>
    </w:p>
    <w:p w14:paraId="560AED8A" w14:textId="060CA6BC" w:rsidR="00FF4BB9" w:rsidRDefault="00FF4BB9" w:rsidP="00FF4BB9">
      <w:pPr>
        <w:pStyle w:val="Infotext"/>
        <w:spacing w:before="360"/>
      </w:pPr>
      <w:r w:rsidRPr="00D914D2">
        <w:rPr>
          <w:b/>
        </w:rPr>
        <w:t>Background Papers</w:t>
      </w:r>
      <w:r>
        <w:t xml:space="preserve">:  </w:t>
      </w:r>
      <w:r w:rsidR="000032A8">
        <w:rPr>
          <w:rFonts w:cs="Arial"/>
          <w:sz w:val="24"/>
        </w:rPr>
        <w:t>None</w:t>
      </w:r>
    </w:p>
    <w:p w14:paraId="7C47980D" w14:textId="77777777" w:rsidR="00FF4BB9" w:rsidRDefault="00FF4BB9" w:rsidP="00FF4BB9">
      <w:pPr>
        <w:pStyle w:val="Infotext"/>
        <w:spacing w:before="360" w:after="240"/>
      </w:pPr>
      <w:r>
        <w:t xml:space="preserve">If appropriate, does the report include the following considerations? </w:t>
      </w:r>
    </w:p>
    <w:p w14:paraId="61A13184" w14:textId="77777777" w:rsidR="00FF4BB9" w:rsidRDefault="00FF4BB9" w:rsidP="00FF4BB9">
      <w:pPr>
        <w:pStyle w:val="Infotext"/>
        <w:tabs>
          <w:tab w:val="left" w:pos="656"/>
          <w:tab w:val="left" w:pos="6399"/>
        </w:tabs>
      </w:pPr>
      <w:r>
        <w:t>1.</w:t>
      </w:r>
      <w:r>
        <w:tab/>
        <w:t xml:space="preserve">Consultation </w:t>
      </w:r>
      <w:r>
        <w:tab/>
        <w:t>YES / NO</w:t>
      </w:r>
    </w:p>
    <w:p w14:paraId="0A1A8035" w14:textId="23334B75" w:rsidR="002A2389" w:rsidRDefault="00FF4BB9" w:rsidP="00615340">
      <w:pPr>
        <w:pStyle w:val="Infotext"/>
        <w:tabs>
          <w:tab w:val="left" w:pos="656"/>
          <w:tab w:val="left" w:pos="6399"/>
        </w:tabs>
      </w:pPr>
      <w:r>
        <w:t>2.</w:t>
      </w:r>
      <w:r>
        <w:tab/>
        <w:t>Priorities</w:t>
      </w:r>
      <w:r>
        <w:tab/>
        <w:t xml:space="preserve">YES / NO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D1A3" w14:textId="77777777" w:rsidR="006530D7" w:rsidRDefault="006530D7">
      <w:r>
        <w:separator/>
      </w:r>
    </w:p>
  </w:endnote>
  <w:endnote w:type="continuationSeparator" w:id="0">
    <w:p w14:paraId="39BE8C60" w14:textId="77777777" w:rsidR="006530D7" w:rsidRDefault="0065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C606" w14:textId="77777777" w:rsidR="006530D7" w:rsidRDefault="006530D7">
      <w:r>
        <w:separator/>
      </w:r>
    </w:p>
  </w:footnote>
  <w:footnote w:type="continuationSeparator" w:id="0">
    <w:p w14:paraId="5BD35FFD" w14:textId="77777777" w:rsidR="006530D7" w:rsidRDefault="0065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10183"/>
    <w:multiLevelType w:val="hybridMultilevel"/>
    <w:tmpl w:val="3AF4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74CBA"/>
    <w:multiLevelType w:val="multilevel"/>
    <w:tmpl w:val="8A348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C740C"/>
    <w:multiLevelType w:val="multilevel"/>
    <w:tmpl w:val="5E9C0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109625">
    <w:abstractNumId w:val="15"/>
  </w:num>
  <w:num w:numId="2" w16cid:durableId="1569226707">
    <w:abstractNumId w:val="11"/>
  </w:num>
  <w:num w:numId="3" w16cid:durableId="813790519">
    <w:abstractNumId w:val="14"/>
  </w:num>
  <w:num w:numId="4" w16cid:durableId="379669333">
    <w:abstractNumId w:val="1"/>
  </w:num>
  <w:num w:numId="5" w16cid:durableId="3396994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335836">
    <w:abstractNumId w:val="7"/>
  </w:num>
  <w:num w:numId="7" w16cid:durableId="164978740">
    <w:abstractNumId w:val="8"/>
  </w:num>
  <w:num w:numId="8" w16cid:durableId="1299336545">
    <w:abstractNumId w:val="3"/>
  </w:num>
  <w:num w:numId="9" w16cid:durableId="1565219860">
    <w:abstractNumId w:val="13"/>
  </w:num>
  <w:num w:numId="10" w16cid:durableId="409237689">
    <w:abstractNumId w:val="17"/>
  </w:num>
  <w:num w:numId="11" w16cid:durableId="892698259">
    <w:abstractNumId w:val="12"/>
  </w:num>
  <w:num w:numId="12" w16cid:durableId="412046328">
    <w:abstractNumId w:val="2"/>
  </w:num>
  <w:num w:numId="13" w16cid:durableId="1783839185">
    <w:abstractNumId w:val="6"/>
  </w:num>
  <w:num w:numId="14" w16cid:durableId="1911234421">
    <w:abstractNumId w:val="10"/>
  </w:num>
  <w:num w:numId="15" w16cid:durableId="1311404609">
    <w:abstractNumId w:val="5"/>
  </w:num>
  <w:num w:numId="16" w16cid:durableId="213930310">
    <w:abstractNumId w:val="16"/>
  </w:num>
  <w:num w:numId="17" w16cid:durableId="1338776680">
    <w:abstractNumId w:val="9"/>
  </w:num>
  <w:num w:numId="18" w16cid:durableId="930357280">
    <w:abstractNumId w:val="0"/>
  </w:num>
  <w:num w:numId="19" w16cid:durableId="946959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32A8"/>
    <w:rsid w:val="000110EA"/>
    <w:rsid w:val="0004710B"/>
    <w:rsid w:val="00057F10"/>
    <w:rsid w:val="00066C35"/>
    <w:rsid w:val="00071EB4"/>
    <w:rsid w:val="00077298"/>
    <w:rsid w:val="00080819"/>
    <w:rsid w:val="000873AE"/>
    <w:rsid w:val="00094DB9"/>
    <w:rsid w:val="000A064E"/>
    <w:rsid w:val="000B6DBB"/>
    <w:rsid w:val="000C0FB9"/>
    <w:rsid w:val="000D0775"/>
    <w:rsid w:val="000D235A"/>
    <w:rsid w:val="000D2387"/>
    <w:rsid w:val="000D2BF2"/>
    <w:rsid w:val="000E5B63"/>
    <w:rsid w:val="000F65C0"/>
    <w:rsid w:val="00122491"/>
    <w:rsid w:val="00132596"/>
    <w:rsid w:val="001353DF"/>
    <w:rsid w:val="00140AA0"/>
    <w:rsid w:val="001417FD"/>
    <w:rsid w:val="00193481"/>
    <w:rsid w:val="001939BA"/>
    <w:rsid w:val="001976BF"/>
    <w:rsid w:val="001C000C"/>
    <w:rsid w:val="001C5225"/>
    <w:rsid w:val="001E0219"/>
    <w:rsid w:val="001E7655"/>
    <w:rsid w:val="001F341E"/>
    <w:rsid w:val="002126CB"/>
    <w:rsid w:val="00231A1D"/>
    <w:rsid w:val="00232114"/>
    <w:rsid w:val="00233193"/>
    <w:rsid w:val="002400AE"/>
    <w:rsid w:val="002578ED"/>
    <w:rsid w:val="0026258C"/>
    <w:rsid w:val="00296F20"/>
    <w:rsid w:val="002A2389"/>
    <w:rsid w:val="002A6109"/>
    <w:rsid w:val="002C08E2"/>
    <w:rsid w:val="002C12DC"/>
    <w:rsid w:val="002C1794"/>
    <w:rsid w:val="002C1D70"/>
    <w:rsid w:val="002C6B45"/>
    <w:rsid w:val="002E77E3"/>
    <w:rsid w:val="002F3735"/>
    <w:rsid w:val="003001B0"/>
    <w:rsid w:val="003042B1"/>
    <w:rsid w:val="003115B3"/>
    <w:rsid w:val="003277D6"/>
    <w:rsid w:val="0034544F"/>
    <w:rsid w:val="003772A0"/>
    <w:rsid w:val="003A42A9"/>
    <w:rsid w:val="003A71D2"/>
    <w:rsid w:val="003B33D2"/>
    <w:rsid w:val="003B6B15"/>
    <w:rsid w:val="003C0B16"/>
    <w:rsid w:val="003E0764"/>
    <w:rsid w:val="004213D7"/>
    <w:rsid w:val="0042394B"/>
    <w:rsid w:val="00424B9F"/>
    <w:rsid w:val="00445053"/>
    <w:rsid w:val="00462955"/>
    <w:rsid w:val="00473B08"/>
    <w:rsid w:val="00474B5F"/>
    <w:rsid w:val="004760D3"/>
    <w:rsid w:val="00485470"/>
    <w:rsid w:val="004B2C9D"/>
    <w:rsid w:val="004C2D29"/>
    <w:rsid w:val="004D5D86"/>
    <w:rsid w:val="004E4624"/>
    <w:rsid w:val="004E667D"/>
    <w:rsid w:val="004E6AF9"/>
    <w:rsid w:val="00513FB9"/>
    <w:rsid w:val="00530D4A"/>
    <w:rsid w:val="00555AD9"/>
    <w:rsid w:val="00577A80"/>
    <w:rsid w:val="005861B4"/>
    <w:rsid w:val="005874F0"/>
    <w:rsid w:val="005B3241"/>
    <w:rsid w:val="005B35FA"/>
    <w:rsid w:val="005D4ADF"/>
    <w:rsid w:val="005E2C3D"/>
    <w:rsid w:val="005E384D"/>
    <w:rsid w:val="005E570E"/>
    <w:rsid w:val="005F2181"/>
    <w:rsid w:val="005F724B"/>
    <w:rsid w:val="006045DE"/>
    <w:rsid w:val="00607738"/>
    <w:rsid w:val="0061167D"/>
    <w:rsid w:val="00615340"/>
    <w:rsid w:val="0063072B"/>
    <w:rsid w:val="006465F6"/>
    <w:rsid w:val="006530D7"/>
    <w:rsid w:val="00662891"/>
    <w:rsid w:val="00675FCB"/>
    <w:rsid w:val="00676400"/>
    <w:rsid w:val="006A6503"/>
    <w:rsid w:val="006A7572"/>
    <w:rsid w:val="006C3914"/>
    <w:rsid w:val="006D24C3"/>
    <w:rsid w:val="006D2C51"/>
    <w:rsid w:val="006D37CF"/>
    <w:rsid w:val="006E0C05"/>
    <w:rsid w:val="00702A97"/>
    <w:rsid w:val="0074184E"/>
    <w:rsid w:val="00755F8D"/>
    <w:rsid w:val="0075757B"/>
    <w:rsid w:val="007844EE"/>
    <w:rsid w:val="00796503"/>
    <w:rsid w:val="007D56C8"/>
    <w:rsid w:val="007E7303"/>
    <w:rsid w:val="007F7B2F"/>
    <w:rsid w:val="00803162"/>
    <w:rsid w:val="008136B1"/>
    <w:rsid w:val="008244ED"/>
    <w:rsid w:val="00826B90"/>
    <w:rsid w:val="00841327"/>
    <w:rsid w:val="00844981"/>
    <w:rsid w:val="00871D20"/>
    <w:rsid w:val="008C03B1"/>
    <w:rsid w:val="008D1750"/>
    <w:rsid w:val="008E4913"/>
    <w:rsid w:val="008F4594"/>
    <w:rsid w:val="00900464"/>
    <w:rsid w:val="0090100E"/>
    <w:rsid w:val="0093767E"/>
    <w:rsid w:val="00972A02"/>
    <w:rsid w:val="0099517C"/>
    <w:rsid w:val="009B2ECD"/>
    <w:rsid w:val="009B5DFA"/>
    <w:rsid w:val="009B6FD7"/>
    <w:rsid w:val="009B7914"/>
    <w:rsid w:val="009F1723"/>
    <w:rsid w:val="00A029F2"/>
    <w:rsid w:val="00A27CEF"/>
    <w:rsid w:val="00A32162"/>
    <w:rsid w:val="00A43885"/>
    <w:rsid w:val="00A50388"/>
    <w:rsid w:val="00A51FAE"/>
    <w:rsid w:val="00A566E7"/>
    <w:rsid w:val="00A613C1"/>
    <w:rsid w:val="00A76A21"/>
    <w:rsid w:val="00A903A6"/>
    <w:rsid w:val="00A940D3"/>
    <w:rsid w:val="00A96FCA"/>
    <w:rsid w:val="00A97C5B"/>
    <w:rsid w:val="00AA4BE8"/>
    <w:rsid w:val="00AA5D1C"/>
    <w:rsid w:val="00AC7BA9"/>
    <w:rsid w:val="00B0425E"/>
    <w:rsid w:val="00B27820"/>
    <w:rsid w:val="00B5039C"/>
    <w:rsid w:val="00B514FB"/>
    <w:rsid w:val="00B812D8"/>
    <w:rsid w:val="00B92AA6"/>
    <w:rsid w:val="00B9498A"/>
    <w:rsid w:val="00BC5FD3"/>
    <w:rsid w:val="00BD684A"/>
    <w:rsid w:val="00BD71B9"/>
    <w:rsid w:val="00BE1C78"/>
    <w:rsid w:val="00BF66D9"/>
    <w:rsid w:val="00BF6C06"/>
    <w:rsid w:val="00BF7C61"/>
    <w:rsid w:val="00C171C8"/>
    <w:rsid w:val="00C20AD9"/>
    <w:rsid w:val="00C251EE"/>
    <w:rsid w:val="00C32DAE"/>
    <w:rsid w:val="00C40E24"/>
    <w:rsid w:val="00C40F46"/>
    <w:rsid w:val="00C7435C"/>
    <w:rsid w:val="00C82CEC"/>
    <w:rsid w:val="00C9556D"/>
    <w:rsid w:val="00C96EF5"/>
    <w:rsid w:val="00CA06F5"/>
    <w:rsid w:val="00CB2D61"/>
    <w:rsid w:val="00CC7DAE"/>
    <w:rsid w:val="00CE262A"/>
    <w:rsid w:val="00D1109B"/>
    <w:rsid w:val="00D30C9D"/>
    <w:rsid w:val="00D32B51"/>
    <w:rsid w:val="00D34145"/>
    <w:rsid w:val="00D34668"/>
    <w:rsid w:val="00D3740E"/>
    <w:rsid w:val="00D67254"/>
    <w:rsid w:val="00D82F57"/>
    <w:rsid w:val="00D841A5"/>
    <w:rsid w:val="00D914D2"/>
    <w:rsid w:val="00DA25DB"/>
    <w:rsid w:val="00DA3900"/>
    <w:rsid w:val="00DB39E5"/>
    <w:rsid w:val="00DB7F0C"/>
    <w:rsid w:val="00DD4251"/>
    <w:rsid w:val="00DE1A34"/>
    <w:rsid w:val="00DE47FA"/>
    <w:rsid w:val="00DF48BB"/>
    <w:rsid w:val="00E02B50"/>
    <w:rsid w:val="00E03F11"/>
    <w:rsid w:val="00E06DC8"/>
    <w:rsid w:val="00E220B5"/>
    <w:rsid w:val="00E24340"/>
    <w:rsid w:val="00E27EAF"/>
    <w:rsid w:val="00E53421"/>
    <w:rsid w:val="00E66F12"/>
    <w:rsid w:val="00EA6242"/>
    <w:rsid w:val="00EB3C99"/>
    <w:rsid w:val="00EC13FF"/>
    <w:rsid w:val="00EE0325"/>
    <w:rsid w:val="00F3207F"/>
    <w:rsid w:val="00F37C8A"/>
    <w:rsid w:val="00F4213B"/>
    <w:rsid w:val="00F65C6A"/>
    <w:rsid w:val="00F66DED"/>
    <w:rsid w:val="00F8119B"/>
    <w:rsid w:val="00F849ED"/>
    <w:rsid w:val="00F92398"/>
    <w:rsid w:val="00F96315"/>
    <w:rsid w:val="00FA178A"/>
    <w:rsid w:val="00FB145F"/>
    <w:rsid w:val="00FB1C90"/>
    <w:rsid w:val="00FB2A02"/>
    <w:rsid w:val="00FD31A0"/>
    <w:rsid w:val="00FF30F2"/>
    <w:rsid w:val="00FF4BB9"/>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0BD69"/>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3772A0"/>
    <w:rPr>
      <w:color w:val="605E5C"/>
      <w:shd w:val="clear" w:color="auto" w:fill="E1DFDD"/>
    </w:rPr>
  </w:style>
  <w:style w:type="paragraph" w:customStyle="1" w:styleId="StyleListParagraphBold">
    <w:name w:val="Style List Paragraph + Bold"/>
    <w:basedOn w:val="ListParagraph"/>
    <w:rsid w:val="0026258C"/>
    <w:rPr>
      <w:rFonts w:eastAsia="Calibri" w:cs="Arial"/>
      <w:b/>
      <w:bCs/>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8023">
      <w:bodyDiv w:val="1"/>
      <w:marLeft w:val="0"/>
      <w:marRight w:val="0"/>
      <w:marTop w:val="0"/>
      <w:marBottom w:val="0"/>
      <w:divBdr>
        <w:top w:val="none" w:sz="0" w:space="0" w:color="auto"/>
        <w:left w:val="none" w:sz="0" w:space="0" w:color="auto"/>
        <w:bottom w:val="none" w:sz="0" w:space="0" w:color="auto"/>
        <w:right w:val="none" w:sz="0" w:space="0" w:color="auto"/>
      </w:divBdr>
    </w:div>
    <w:div w:id="593366653">
      <w:bodyDiv w:val="1"/>
      <w:marLeft w:val="0"/>
      <w:marRight w:val="0"/>
      <w:marTop w:val="0"/>
      <w:marBottom w:val="0"/>
      <w:divBdr>
        <w:top w:val="none" w:sz="0" w:space="0" w:color="auto"/>
        <w:left w:val="none" w:sz="0" w:space="0" w:color="auto"/>
        <w:bottom w:val="none" w:sz="0" w:space="0" w:color="auto"/>
        <w:right w:val="none" w:sz="0" w:space="0" w:color="auto"/>
      </w:divBdr>
      <w:divsChild>
        <w:div w:id="42101455">
          <w:marLeft w:val="0"/>
          <w:marRight w:val="0"/>
          <w:marTop w:val="0"/>
          <w:marBottom w:val="0"/>
          <w:divBdr>
            <w:top w:val="none" w:sz="0" w:space="0" w:color="auto"/>
            <w:left w:val="none" w:sz="0" w:space="0" w:color="auto"/>
            <w:bottom w:val="none" w:sz="0" w:space="0" w:color="auto"/>
            <w:right w:val="none" w:sz="0" w:space="0" w:color="auto"/>
          </w:divBdr>
        </w:div>
        <w:div w:id="911044146">
          <w:marLeft w:val="0"/>
          <w:marRight w:val="0"/>
          <w:marTop w:val="0"/>
          <w:marBottom w:val="0"/>
          <w:divBdr>
            <w:top w:val="none" w:sz="0" w:space="0" w:color="auto"/>
            <w:left w:val="none" w:sz="0" w:space="0" w:color="auto"/>
            <w:bottom w:val="none" w:sz="0" w:space="0" w:color="auto"/>
            <w:right w:val="none" w:sz="0" w:space="0" w:color="auto"/>
          </w:divBdr>
        </w:div>
        <w:div w:id="722749698">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609386283">
          <w:marLeft w:val="0"/>
          <w:marRight w:val="0"/>
          <w:marTop w:val="0"/>
          <w:marBottom w:val="0"/>
          <w:divBdr>
            <w:top w:val="none" w:sz="0" w:space="0" w:color="auto"/>
            <w:left w:val="none" w:sz="0" w:space="0" w:color="auto"/>
            <w:bottom w:val="none" w:sz="0" w:space="0" w:color="auto"/>
            <w:right w:val="none" w:sz="0" w:space="0" w:color="auto"/>
          </w:divBdr>
        </w:div>
        <w:div w:id="219175573">
          <w:marLeft w:val="0"/>
          <w:marRight w:val="0"/>
          <w:marTop w:val="0"/>
          <w:marBottom w:val="0"/>
          <w:divBdr>
            <w:top w:val="none" w:sz="0" w:space="0" w:color="auto"/>
            <w:left w:val="none" w:sz="0" w:space="0" w:color="auto"/>
            <w:bottom w:val="none" w:sz="0" w:space="0" w:color="auto"/>
            <w:right w:val="none" w:sz="0" w:space="0" w:color="auto"/>
          </w:divBdr>
        </w:div>
        <w:div w:id="840002249">
          <w:marLeft w:val="0"/>
          <w:marRight w:val="0"/>
          <w:marTop w:val="0"/>
          <w:marBottom w:val="0"/>
          <w:divBdr>
            <w:top w:val="none" w:sz="0" w:space="0" w:color="auto"/>
            <w:left w:val="none" w:sz="0" w:space="0" w:color="auto"/>
            <w:bottom w:val="none" w:sz="0" w:space="0" w:color="auto"/>
            <w:right w:val="none" w:sz="0" w:space="0" w:color="auto"/>
          </w:divBdr>
        </w:div>
        <w:div w:id="1239560236">
          <w:marLeft w:val="0"/>
          <w:marRight w:val="0"/>
          <w:marTop w:val="0"/>
          <w:marBottom w:val="0"/>
          <w:divBdr>
            <w:top w:val="none" w:sz="0" w:space="0" w:color="auto"/>
            <w:left w:val="none" w:sz="0" w:space="0" w:color="auto"/>
            <w:bottom w:val="none" w:sz="0" w:space="0" w:color="auto"/>
            <w:right w:val="none" w:sz="0" w:space="0" w:color="auto"/>
          </w:divBdr>
        </w:div>
        <w:div w:id="824973136">
          <w:marLeft w:val="0"/>
          <w:marRight w:val="0"/>
          <w:marTop w:val="0"/>
          <w:marBottom w:val="0"/>
          <w:divBdr>
            <w:top w:val="none" w:sz="0" w:space="0" w:color="auto"/>
            <w:left w:val="none" w:sz="0" w:space="0" w:color="auto"/>
            <w:bottom w:val="none" w:sz="0" w:space="0" w:color="auto"/>
            <w:right w:val="none" w:sz="0" w:space="0" w:color="auto"/>
          </w:divBdr>
        </w:div>
        <w:div w:id="1811245510">
          <w:marLeft w:val="0"/>
          <w:marRight w:val="0"/>
          <w:marTop w:val="0"/>
          <w:marBottom w:val="0"/>
          <w:divBdr>
            <w:top w:val="none" w:sz="0" w:space="0" w:color="auto"/>
            <w:left w:val="none" w:sz="0" w:space="0" w:color="auto"/>
            <w:bottom w:val="none" w:sz="0" w:space="0" w:color="auto"/>
            <w:right w:val="none" w:sz="0" w:space="0" w:color="auto"/>
          </w:divBdr>
        </w:div>
        <w:div w:id="2107193678">
          <w:marLeft w:val="0"/>
          <w:marRight w:val="0"/>
          <w:marTop w:val="0"/>
          <w:marBottom w:val="0"/>
          <w:divBdr>
            <w:top w:val="none" w:sz="0" w:space="0" w:color="auto"/>
            <w:left w:val="none" w:sz="0" w:space="0" w:color="auto"/>
            <w:bottom w:val="none" w:sz="0" w:space="0" w:color="auto"/>
            <w:right w:val="none" w:sz="0" w:space="0" w:color="auto"/>
          </w:divBdr>
        </w:div>
        <w:div w:id="102651905">
          <w:marLeft w:val="0"/>
          <w:marRight w:val="0"/>
          <w:marTop w:val="0"/>
          <w:marBottom w:val="0"/>
          <w:divBdr>
            <w:top w:val="none" w:sz="0" w:space="0" w:color="auto"/>
            <w:left w:val="none" w:sz="0" w:space="0" w:color="auto"/>
            <w:bottom w:val="none" w:sz="0" w:space="0" w:color="auto"/>
            <w:right w:val="none" w:sz="0" w:space="0" w:color="auto"/>
          </w:divBdr>
        </w:div>
        <w:div w:id="1191918924">
          <w:marLeft w:val="0"/>
          <w:marRight w:val="0"/>
          <w:marTop w:val="0"/>
          <w:marBottom w:val="0"/>
          <w:divBdr>
            <w:top w:val="none" w:sz="0" w:space="0" w:color="auto"/>
            <w:left w:val="none" w:sz="0" w:space="0" w:color="auto"/>
            <w:bottom w:val="none" w:sz="0" w:space="0" w:color="auto"/>
            <w:right w:val="none" w:sz="0" w:space="0" w:color="auto"/>
          </w:divBdr>
        </w:div>
        <w:div w:id="439763253">
          <w:marLeft w:val="0"/>
          <w:marRight w:val="0"/>
          <w:marTop w:val="0"/>
          <w:marBottom w:val="0"/>
          <w:divBdr>
            <w:top w:val="none" w:sz="0" w:space="0" w:color="auto"/>
            <w:left w:val="none" w:sz="0" w:space="0" w:color="auto"/>
            <w:bottom w:val="none" w:sz="0" w:space="0" w:color="auto"/>
            <w:right w:val="none" w:sz="0" w:space="0" w:color="auto"/>
          </w:divBdr>
        </w:div>
        <w:div w:id="648368740">
          <w:marLeft w:val="0"/>
          <w:marRight w:val="0"/>
          <w:marTop w:val="0"/>
          <w:marBottom w:val="0"/>
          <w:divBdr>
            <w:top w:val="none" w:sz="0" w:space="0" w:color="auto"/>
            <w:left w:val="none" w:sz="0" w:space="0" w:color="auto"/>
            <w:bottom w:val="none" w:sz="0" w:space="0" w:color="auto"/>
            <w:right w:val="none" w:sz="0" w:space="0" w:color="auto"/>
          </w:divBdr>
        </w:div>
        <w:div w:id="2041127792">
          <w:marLeft w:val="0"/>
          <w:marRight w:val="0"/>
          <w:marTop w:val="0"/>
          <w:marBottom w:val="0"/>
          <w:divBdr>
            <w:top w:val="none" w:sz="0" w:space="0" w:color="auto"/>
            <w:left w:val="none" w:sz="0" w:space="0" w:color="auto"/>
            <w:bottom w:val="none" w:sz="0" w:space="0" w:color="auto"/>
            <w:right w:val="none" w:sz="0" w:space="0" w:color="auto"/>
          </w:divBdr>
        </w:div>
        <w:div w:id="92672389">
          <w:marLeft w:val="0"/>
          <w:marRight w:val="0"/>
          <w:marTop w:val="0"/>
          <w:marBottom w:val="0"/>
          <w:divBdr>
            <w:top w:val="none" w:sz="0" w:space="0" w:color="auto"/>
            <w:left w:val="none" w:sz="0" w:space="0" w:color="auto"/>
            <w:bottom w:val="none" w:sz="0" w:space="0" w:color="auto"/>
            <w:right w:val="none" w:sz="0" w:space="0" w:color="auto"/>
          </w:divBdr>
        </w:div>
        <w:div w:id="743599802">
          <w:marLeft w:val="0"/>
          <w:marRight w:val="0"/>
          <w:marTop w:val="0"/>
          <w:marBottom w:val="0"/>
          <w:divBdr>
            <w:top w:val="none" w:sz="0" w:space="0" w:color="auto"/>
            <w:left w:val="none" w:sz="0" w:space="0" w:color="auto"/>
            <w:bottom w:val="none" w:sz="0" w:space="0" w:color="auto"/>
            <w:right w:val="none" w:sz="0" w:space="0" w:color="auto"/>
          </w:divBdr>
        </w:div>
        <w:div w:id="1888176358">
          <w:marLeft w:val="0"/>
          <w:marRight w:val="0"/>
          <w:marTop w:val="0"/>
          <w:marBottom w:val="0"/>
          <w:divBdr>
            <w:top w:val="none" w:sz="0" w:space="0" w:color="auto"/>
            <w:left w:val="none" w:sz="0" w:space="0" w:color="auto"/>
            <w:bottom w:val="none" w:sz="0" w:space="0" w:color="auto"/>
            <w:right w:val="none" w:sz="0" w:space="0" w:color="auto"/>
          </w:divBdr>
        </w:div>
        <w:div w:id="836918759">
          <w:marLeft w:val="0"/>
          <w:marRight w:val="0"/>
          <w:marTop w:val="0"/>
          <w:marBottom w:val="0"/>
          <w:divBdr>
            <w:top w:val="none" w:sz="0" w:space="0" w:color="auto"/>
            <w:left w:val="none" w:sz="0" w:space="0" w:color="auto"/>
            <w:bottom w:val="none" w:sz="0" w:space="0" w:color="auto"/>
            <w:right w:val="none" w:sz="0" w:space="0" w:color="auto"/>
          </w:divBdr>
        </w:div>
        <w:div w:id="156501042">
          <w:marLeft w:val="0"/>
          <w:marRight w:val="0"/>
          <w:marTop w:val="0"/>
          <w:marBottom w:val="0"/>
          <w:divBdr>
            <w:top w:val="none" w:sz="0" w:space="0" w:color="auto"/>
            <w:left w:val="none" w:sz="0" w:space="0" w:color="auto"/>
            <w:bottom w:val="none" w:sz="0" w:space="0" w:color="auto"/>
            <w:right w:val="none" w:sz="0" w:space="0" w:color="auto"/>
          </w:divBdr>
        </w:div>
        <w:div w:id="586769211">
          <w:marLeft w:val="0"/>
          <w:marRight w:val="0"/>
          <w:marTop w:val="0"/>
          <w:marBottom w:val="0"/>
          <w:divBdr>
            <w:top w:val="none" w:sz="0" w:space="0" w:color="auto"/>
            <w:left w:val="none" w:sz="0" w:space="0" w:color="auto"/>
            <w:bottom w:val="none" w:sz="0" w:space="0" w:color="auto"/>
            <w:right w:val="none" w:sz="0" w:space="0" w:color="auto"/>
          </w:divBdr>
          <w:divsChild>
            <w:div w:id="1030643993">
              <w:marLeft w:val="-75"/>
              <w:marRight w:val="0"/>
              <w:marTop w:val="30"/>
              <w:marBottom w:val="30"/>
              <w:divBdr>
                <w:top w:val="none" w:sz="0" w:space="0" w:color="auto"/>
                <w:left w:val="none" w:sz="0" w:space="0" w:color="auto"/>
                <w:bottom w:val="none" w:sz="0" w:space="0" w:color="auto"/>
                <w:right w:val="none" w:sz="0" w:space="0" w:color="auto"/>
              </w:divBdr>
              <w:divsChild>
                <w:div w:id="1231698707">
                  <w:marLeft w:val="0"/>
                  <w:marRight w:val="0"/>
                  <w:marTop w:val="0"/>
                  <w:marBottom w:val="0"/>
                  <w:divBdr>
                    <w:top w:val="none" w:sz="0" w:space="0" w:color="auto"/>
                    <w:left w:val="none" w:sz="0" w:space="0" w:color="auto"/>
                    <w:bottom w:val="none" w:sz="0" w:space="0" w:color="auto"/>
                    <w:right w:val="none" w:sz="0" w:space="0" w:color="auto"/>
                  </w:divBdr>
                  <w:divsChild>
                    <w:div w:id="2030984891">
                      <w:marLeft w:val="0"/>
                      <w:marRight w:val="0"/>
                      <w:marTop w:val="0"/>
                      <w:marBottom w:val="0"/>
                      <w:divBdr>
                        <w:top w:val="none" w:sz="0" w:space="0" w:color="auto"/>
                        <w:left w:val="none" w:sz="0" w:space="0" w:color="auto"/>
                        <w:bottom w:val="none" w:sz="0" w:space="0" w:color="auto"/>
                        <w:right w:val="none" w:sz="0" w:space="0" w:color="auto"/>
                      </w:divBdr>
                    </w:div>
                  </w:divsChild>
                </w:div>
                <w:div w:id="1818835170">
                  <w:marLeft w:val="0"/>
                  <w:marRight w:val="0"/>
                  <w:marTop w:val="0"/>
                  <w:marBottom w:val="0"/>
                  <w:divBdr>
                    <w:top w:val="none" w:sz="0" w:space="0" w:color="auto"/>
                    <w:left w:val="none" w:sz="0" w:space="0" w:color="auto"/>
                    <w:bottom w:val="none" w:sz="0" w:space="0" w:color="auto"/>
                    <w:right w:val="none" w:sz="0" w:space="0" w:color="auto"/>
                  </w:divBdr>
                  <w:divsChild>
                    <w:div w:id="1660841230">
                      <w:marLeft w:val="0"/>
                      <w:marRight w:val="0"/>
                      <w:marTop w:val="0"/>
                      <w:marBottom w:val="0"/>
                      <w:divBdr>
                        <w:top w:val="none" w:sz="0" w:space="0" w:color="auto"/>
                        <w:left w:val="none" w:sz="0" w:space="0" w:color="auto"/>
                        <w:bottom w:val="none" w:sz="0" w:space="0" w:color="auto"/>
                        <w:right w:val="none" w:sz="0" w:space="0" w:color="auto"/>
                      </w:divBdr>
                    </w:div>
                  </w:divsChild>
                </w:div>
                <w:div w:id="610943622">
                  <w:marLeft w:val="0"/>
                  <w:marRight w:val="0"/>
                  <w:marTop w:val="0"/>
                  <w:marBottom w:val="0"/>
                  <w:divBdr>
                    <w:top w:val="none" w:sz="0" w:space="0" w:color="auto"/>
                    <w:left w:val="none" w:sz="0" w:space="0" w:color="auto"/>
                    <w:bottom w:val="none" w:sz="0" w:space="0" w:color="auto"/>
                    <w:right w:val="none" w:sz="0" w:space="0" w:color="auto"/>
                  </w:divBdr>
                  <w:divsChild>
                    <w:div w:id="1103459177">
                      <w:marLeft w:val="0"/>
                      <w:marRight w:val="0"/>
                      <w:marTop w:val="0"/>
                      <w:marBottom w:val="0"/>
                      <w:divBdr>
                        <w:top w:val="none" w:sz="0" w:space="0" w:color="auto"/>
                        <w:left w:val="none" w:sz="0" w:space="0" w:color="auto"/>
                        <w:bottom w:val="none" w:sz="0" w:space="0" w:color="auto"/>
                        <w:right w:val="none" w:sz="0" w:space="0" w:color="auto"/>
                      </w:divBdr>
                    </w:div>
                  </w:divsChild>
                </w:div>
                <w:div w:id="1465847293">
                  <w:marLeft w:val="0"/>
                  <w:marRight w:val="0"/>
                  <w:marTop w:val="0"/>
                  <w:marBottom w:val="0"/>
                  <w:divBdr>
                    <w:top w:val="none" w:sz="0" w:space="0" w:color="auto"/>
                    <w:left w:val="none" w:sz="0" w:space="0" w:color="auto"/>
                    <w:bottom w:val="none" w:sz="0" w:space="0" w:color="auto"/>
                    <w:right w:val="none" w:sz="0" w:space="0" w:color="auto"/>
                  </w:divBdr>
                  <w:divsChild>
                    <w:div w:id="941839074">
                      <w:marLeft w:val="0"/>
                      <w:marRight w:val="0"/>
                      <w:marTop w:val="0"/>
                      <w:marBottom w:val="0"/>
                      <w:divBdr>
                        <w:top w:val="none" w:sz="0" w:space="0" w:color="auto"/>
                        <w:left w:val="none" w:sz="0" w:space="0" w:color="auto"/>
                        <w:bottom w:val="none" w:sz="0" w:space="0" w:color="auto"/>
                        <w:right w:val="none" w:sz="0" w:space="0" w:color="auto"/>
                      </w:divBdr>
                    </w:div>
                  </w:divsChild>
                </w:div>
                <w:div w:id="231241494">
                  <w:marLeft w:val="0"/>
                  <w:marRight w:val="0"/>
                  <w:marTop w:val="0"/>
                  <w:marBottom w:val="0"/>
                  <w:divBdr>
                    <w:top w:val="none" w:sz="0" w:space="0" w:color="auto"/>
                    <w:left w:val="none" w:sz="0" w:space="0" w:color="auto"/>
                    <w:bottom w:val="none" w:sz="0" w:space="0" w:color="auto"/>
                    <w:right w:val="none" w:sz="0" w:space="0" w:color="auto"/>
                  </w:divBdr>
                  <w:divsChild>
                    <w:div w:id="59450935">
                      <w:marLeft w:val="0"/>
                      <w:marRight w:val="0"/>
                      <w:marTop w:val="0"/>
                      <w:marBottom w:val="0"/>
                      <w:divBdr>
                        <w:top w:val="none" w:sz="0" w:space="0" w:color="auto"/>
                        <w:left w:val="none" w:sz="0" w:space="0" w:color="auto"/>
                        <w:bottom w:val="none" w:sz="0" w:space="0" w:color="auto"/>
                        <w:right w:val="none" w:sz="0" w:space="0" w:color="auto"/>
                      </w:divBdr>
                    </w:div>
                  </w:divsChild>
                </w:div>
                <w:div w:id="1057898414">
                  <w:marLeft w:val="0"/>
                  <w:marRight w:val="0"/>
                  <w:marTop w:val="0"/>
                  <w:marBottom w:val="0"/>
                  <w:divBdr>
                    <w:top w:val="none" w:sz="0" w:space="0" w:color="auto"/>
                    <w:left w:val="none" w:sz="0" w:space="0" w:color="auto"/>
                    <w:bottom w:val="none" w:sz="0" w:space="0" w:color="auto"/>
                    <w:right w:val="none" w:sz="0" w:space="0" w:color="auto"/>
                  </w:divBdr>
                  <w:divsChild>
                    <w:div w:id="677271082">
                      <w:marLeft w:val="0"/>
                      <w:marRight w:val="0"/>
                      <w:marTop w:val="0"/>
                      <w:marBottom w:val="0"/>
                      <w:divBdr>
                        <w:top w:val="none" w:sz="0" w:space="0" w:color="auto"/>
                        <w:left w:val="none" w:sz="0" w:space="0" w:color="auto"/>
                        <w:bottom w:val="none" w:sz="0" w:space="0" w:color="auto"/>
                        <w:right w:val="none" w:sz="0" w:space="0" w:color="auto"/>
                      </w:divBdr>
                    </w:div>
                    <w:div w:id="801046772">
                      <w:marLeft w:val="0"/>
                      <w:marRight w:val="0"/>
                      <w:marTop w:val="0"/>
                      <w:marBottom w:val="0"/>
                      <w:divBdr>
                        <w:top w:val="none" w:sz="0" w:space="0" w:color="auto"/>
                        <w:left w:val="none" w:sz="0" w:space="0" w:color="auto"/>
                        <w:bottom w:val="none" w:sz="0" w:space="0" w:color="auto"/>
                        <w:right w:val="none" w:sz="0" w:space="0" w:color="auto"/>
                      </w:divBdr>
                    </w:div>
                    <w:div w:id="543716622">
                      <w:marLeft w:val="0"/>
                      <w:marRight w:val="0"/>
                      <w:marTop w:val="0"/>
                      <w:marBottom w:val="0"/>
                      <w:divBdr>
                        <w:top w:val="none" w:sz="0" w:space="0" w:color="auto"/>
                        <w:left w:val="none" w:sz="0" w:space="0" w:color="auto"/>
                        <w:bottom w:val="none" w:sz="0" w:space="0" w:color="auto"/>
                        <w:right w:val="none" w:sz="0" w:space="0" w:color="auto"/>
                      </w:divBdr>
                    </w:div>
                  </w:divsChild>
                </w:div>
                <w:div w:id="543061009">
                  <w:marLeft w:val="0"/>
                  <w:marRight w:val="0"/>
                  <w:marTop w:val="0"/>
                  <w:marBottom w:val="0"/>
                  <w:divBdr>
                    <w:top w:val="none" w:sz="0" w:space="0" w:color="auto"/>
                    <w:left w:val="none" w:sz="0" w:space="0" w:color="auto"/>
                    <w:bottom w:val="none" w:sz="0" w:space="0" w:color="auto"/>
                    <w:right w:val="none" w:sz="0" w:space="0" w:color="auto"/>
                  </w:divBdr>
                  <w:divsChild>
                    <w:div w:id="562644774">
                      <w:marLeft w:val="0"/>
                      <w:marRight w:val="0"/>
                      <w:marTop w:val="0"/>
                      <w:marBottom w:val="0"/>
                      <w:divBdr>
                        <w:top w:val="none" w:sz="0" w:space="0" w:color="auto"/>
                        <w:left w:val="none" w:sz="0" w:space="0" w:color="auto"/>
                        <w:bottom w:val="none" w:sz="0" w:space="0" w:color="auto"/>
                        <w:right w:val="none" w:sz="0" w:space="0" w:color="auto"/>
                      </w:divBdr>
                    </w:div>
                  </w:divsChild>
                </w:div>
                <w:div w:id="1261599014">
                  <w:marLeft w:val="0"/>
                  <w:marRight w:val="0"/>
                  <w:marTop w:val="0"/>
                  <w:marBottom w:val="0"/>
                  <w:divBdr>
                    <w:top w:val="none" w:sz="0" w:space="0" w:color="auto"/>
                    <w:left w:val="none" w:sz="0" w:space="0" w:color="auto"/>
                    <w:bottom w:val="none" w:sz="0" w:space="0" w:color="auto"/>
                    <w:right w:val="none" w:sz="0" w:space="0" w:color="auto"/>
                  </w:divBdr>
                  <w:divsChild>
                    <w:div w:id="1663386210">
                      <w:marLeft w:val="0"/>
                      <w:marRight w:val="0"/>
                      <w:marTop w:val="0"/>
                      <w:marBottom w:val="0"/>
                      <w:divBdr>
                        <w:top w:val="none" w:sz="0" w:space="0" w:color="auto"/>
                        <w:left w:val="none" w:sz="0" w:space="0" w:color="auto"/>
                        <w:bottom w:val="none" w:sz="0" w:space="0" w:color="auto"/>
                        <w:right w:val="none" w:sz="0" w:space="0" w:color="auto"/>
                      </w:divBdr>
                    </w:div>
                  </w:divsChild>
                </w:div>
                <w:div w:id="663973667">
                  <w:marLeft w:val="0"/>
                  <w:marRight w:val="0"/>
                  <w:marTop w:val="0"/>
                  <w:marBottom w:val="0"/>
                  <w:divBdr>
                    <w:top w:val="none" w:sz="0" w:space="0" w:color="auto"/>
                    <w:left w:val="none" w:sz="0" w:space="0" w:color="auto"/>
                    <w:bottom w:val="none" w:sz="0" w:space="0" w:color="auto"/>
                    <w:right w:val="none" w:sz="0" w:space="0" w:color="auto"/>
                  </w:divBdr>
                  <w:divsChild>
                    <w:div w:id="11620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2964">
          <w:marLeft w:val="0"/>
          <w:marRight w:val="0"/>
          <w:marTop w:val="0"/>
          <w:marBottom w:val="0"/>
          <w:divBdr>
            <w:top w:val="none" w:sz="0" w:space="0" w:color="auto"/>
            <w:left w:val="none" w:sz="0" w:space="0" w:color="auto"/>
            <w:bottom w:val="none" w:sz="0" w:space="0" w:color="auto"/>
            <w:right w:val="none" w:sz="0" w:space="0" w:color="auto"/>
          </w:divBdr>
        </w:div>
        <w:div w:id="822697308">
          <w:marLeft w:val="0"/>
          <w:marRight w:val="0"/>
          <w:marTop w:val="0"/>
          <w:marBottom w:val="0"/>
          <w:divBdr>
            <w:top w:val="none" w:sz="0" w:space="0" w:color="auto"/>
            <w:left w:val="none" w:sz="0" w:space="0" w:color="auto"/>
            <w:bottom w:val="none" w:sz="0" w:space="0" w:color="auto"/>
            <w:right w:val="none" w:sz="0" w:space="0" w:color="auto"/>
          </w:divBdr>
        </w:div>
      </w:divsChild>
    </w:div>
    <w:div w:id="629556687">
      <w:bodyDiv w:val="1"/>
      <w:marLeft w:val="0"/>
      <w:marRight w:val="0"/>
      <w:marTop w:val="0"/>
      <w:marBottom w:val="0"/>
      <w:divBdr>
        <w:top w:val="none" w:sz="0" w:space="0" w:color="auto"/>
        <w:left w:val="none" w:sz="0" w:space="0" w:color="auto"/>
        <w:bottom w:val="none" w:sz="0" w:space="0" w:color="auto"/>
        <w:right w:val="none" w:sz="0" w:space="0" w:color="auto"/>
      </w:divBdr>
      <w:divsChild>
        <w:div w:id="2082941172">
          <w:marLeft w:val="0"/>
          <w:marRight w:val="0"/>
          <w:marTop w:val="0"/>
          <w:marBottom w:val="0"/>
          <w:divBdr>
            <w:top w:val="none" w:sz="0" w:space="0" w:color="auto"/>
            <w:left w:val="none" w:sz="0" w:space="0" w:color="auto"/>
            <w:bottom w:val="none" w:sz="0" w:space="0" w:color="auto"/>
            <w:right w:val="none" w:sz="0" w:space="0" w:color="auto"/>
          </w:divBdr>
        </w:div>
      </w:divsChild>
    </w:div>
    <w:div w:id="17333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c-word-edit.officeapps.live.com/we/wordeditorframe.aspx?ui=en%2DGB&amp;rs=en%2DGB&amp;wopisrc=https%3A%2F%2Fharrowcouncil.sharepoint.com%2Fsites%2FPh%2F_vti_bin%2Fwopi.ashx%2Ffiles%2Fe2e355e181fe40e98a439dc0f69ed047&amp;wdpid=71636fe4&amp;wdenableroaming=1&amp;mscc=1&amp;hid=387DE0A0-A0B0-7000-443F-339D036DF29F&amp;wdorigin=Other&amp;jsapi=1&amp;jsapiver=v1&amp;newsession=1&amp;corrid=46c5f212-c4ff-41cc-8472-b40c40012478&amp;usid=46c5f212-c4ff-41cc-8472-b40c40012478&amp;sftc=1&amp;cac=1&amp;mtf=1&amp;sfp=1&amp;instantedit=1&amp;wopicomplete=1&amp;wdredirectionreason=Unified_SingleFlush&amp;rct=Normal&amp;ctp=LeastProtecte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e.furlong@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6505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7499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96</cp:revision>
  <cp:lastPrinted>2007-07-12T09:53:00Z</cp:lastPrinted>
  <dcterms:created xsi:type="dcterms:W3CDTF">2024-02-28T11:57:00Z</dcterms:created>
  <dcterms:modified xsi:type="dcterms:W3CDTF">2024-03-07T13:18:00Z</dcterms:modified>
</cp:coreProperties>
</file>